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1A54B9" w:rsidRDefault="00E65CB3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1A54B9" w:rsidRDefault="00E65CB3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1A54B9" w:rsidRDefault="001A54B9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1A54B9" w:rsidRDefault="001A54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E65CB3">
      <w:pPr>
        <w:pStyle w:val="a9"/>
        <w:spacing w:after="0"/>
        <w:jc w:val="center"/>
        <w:rPr>
          <w:rFonts w:eastAsia="Arial Unicode MS" w:cs="Arial Unicode MS"/>
          <w:color w:val="000000"/>
          <w:sz w:val="28"/>
          <w:szCs w:val="28"/>
          <w:u w:color="000000"/>
        </w:rPr>
      </w:pPr>
      <w:proofErr w:type="spellStart"/>
      <w:r>
        <w:rPr>
          <w:rFonts w:eastAsia="Arial Unicode MS" w:cs="Arial Unicode MS"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eastAsia="Arial Unicode MS" w:cs="Arial Unicode MS"/>
          <w:color w:val="000000"/>
          <w:sz w:val="28"/>
          <w:szCs w:val="28"/>
          <w:u w:color="000000"/>
        </w:rPr>
        <w:t xml:space="preserve"> В.Е.</w:t>
      </w:r>
    </w:p>
    <w:p w:rsidR="001A54B9" w:rsidRDefault="001A54B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1A54B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РЫНОК ЦИФРОВЫХ ФИНАНСОВЫХ АКТИВОВ</w:t>
      </w:r>
    </w:p>
    <w:p w:rsidR="001A54B9" w:rsidRDefault="001A54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54B9" w:rsidRDefault="001A54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54B9" w:rsidRDefault="00E65C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Рабочая программа дисциплины</w:t>
      </w:r>
    </w:p>
    <w:p w:rsidR="001A54B9" w:rsidRDefault="00E65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1A54B9" w:rsidRDefault="00E65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</w:t>
      </w:r>
      <w:r w:rsidR="004B445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.01-Экономика,</w:t>
      </w:r>
    </w:p>
    <w:p w:rsidR="001A54B9" w:rsidRDefault="00E65CB3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«Экономика и финансы», </w:t>
      </w:r>
    </w:p>
    <w:p w:rsidR="001A54B9" w:rsidRDefault="004B445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«Финансовые рынки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финтех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E65CB3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1A54B9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1A54B9" w:rsidRDefault="00E65CB3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1A54B9" w:rsidRDefault="00E65CB3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1A54B9" w:rsidRDefault="001A54B9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1A54B9" w:rsidRDefault="001A54B9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1A54B9" w:rsidRDefault="001A54B9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1A54B9" w:rsidRDefault="00E65CB3">
      <w:pPr>
        <w:pStyle w:val="a9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УТВЕРЖДАЮ</w:t>
      </w:r>
    </w:p>
    <w:p w:rsidR="001A54B9" w:rsidRDefault="00E65CB3">
      <w:pPr>
        <w:pStyle w:val="a9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:rsidR="001A54B9" w:rsidRDefault="00E65CB3">
      <w:pPr>
        <w:pStyle w:val="a9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:rsidR="001A54B9" w:rsidRDefault="00E65CB3">
      <w:pPr>
        <w:pStyle w:val="a9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:rsidR="001A54B9" w:rsidRDefault="00E65CB3">
      <w:pPr>
        <w:pStyle w:val="a9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«</w:t>
      </w:r>
      <w:r w:rsidR="00370A72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370A72">
        <w:rPr>
          <w:sz w:val="28"/>
          <w:szCs w:val="28"/>
        </w:rPr>
        <w:t xml:space="preserve"> мая </w:t>
      </w:r>
      <w:r>
        <w:rPr>
          <w:sz w:val="28"/>
          <w:szCs w:val="28"/>
        </w:rPr>
        <w:t>2023 г.</w:t>
      </w:r>
    </w:p>
    <w:p w:rsidR="001A54B9" w:rsidRDefault="001A54B9">
      <w:pPr>
        <w:pStyle w:val="a9"/>
        <w:spacing w:line="276" w:lineRule="auto"/>
        <w:jc w:val="both"/>
        <w:rPr>
          <w:b/>
          <w:bCs/>
          <w:sz w:val="28"/>
          <w:szCs w:val="28"/>
        </w:rPr>
      </w:pPr>
    </w:p>
    <w:p w:rsidR="001A54B9" w:rsidRDefault="00E65CB3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</w:pP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  <w:t xml:space="preserve"> В.Е.</w:t>
      </w:r>
    </w:p>
    <w:p w:rsidR="001A54B9" w:rsidRDefault="001A54B9">
      <w:pPr>
        <w:spacing w:after="0" w:line="240" w:lineRule="auto"/>
        <w:jc w:val="center"/>
        <w:rPr>
          <w:rFonts w:eastAsia="Arial Unicode MS" w:cs="Arial Unicode MS"/>
          <w:color w:val="000000"/>
          <w:sz w:val="28"/>
          <w:szCs w:val="28"/>
          <w:u w:color="000000"/>
        </w:rPr>
      </w:pPr>
    </w:p>
    <w:p w:rsidR="001A54B9" w:rsidRDefault="00E65CB3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РЫНОК ЦИФРОВЫХ ФИНАНСОВЫХ АКТИВОВ</w:t>
      </w:r>
    </w:p>
    <w:p w:rsidR="001A54B9" w:rsidRDefault="001A54B9">
      <w:pPr>
        <w:spacing w:after="0" w:line="240" w:lineRule="auto"/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A54B9" w:rsidRDefault="00E65C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Рабочая программа дисциплины</w:t>
      </w:r>
    </w:p>
    <w:p w:rsidR="001A54B9" w:rsidRDefault="001A54B9">
      <w:pPr>
        <w:spacing w:after="0" w:line="1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E65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1A54B9" w:rsidRDefault="00E65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</w:t>
      </w:r>
      <w:r w:rsidR="004B445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.01-Экономика,</w:t>
      </w:r>
    </w:p>
    <w:p w:rsidR="004B4457" w:rsidRDefault="00E65CB3" w:rsidP="004B4457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«Экономика и финансы», </w:t>
      </w:r>
    </w:p>
    <w:p w:rsidR="001A54B9" w:rsidRDefault="004B4457" w:rsidP="004B4457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«Финансовые рынки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финтех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1A54B9" w:rsidRDefault="001A54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54B9" w:rsidRDefault="001A54B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A54B9" w:rsidRDefault="00E65CB3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1A54B9" w:rsidRDefault="00E65CB3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0" w:name="_Hlk117084302"/>
      <w:r>
        <w:rPr>
          <w:i/>
          <w:iCs/>
          <w:sz w:val="28"/>
          <w:szCs w:val="28"/>
        </w:rPr>
        <w:t>протокол №</w:t>
      </w:r>
      <w:r w:rsidR="00370A72">
        <w:rPr>
          <w:i/>
          <w:iCs/>
          <w:sz w:val="28"/>
          <w:szCs w:val="28"/>
        </w:rPr>
        <w:t xml:space="preserve"> 34</w:t>
      </w:r>
      <w:r>
        <w:rPr>
          <w:i/>
          <w:iCs/>
          <w:sz w:val="28"/>
          <w:szCs w:val="28"/>
        </w:rPr>
        <w:t xml:space="preserve"> от </w:t>
      </w:r>
      <w:r w:rsidR="00370A72">
        <w:rPr>
          <w:i/>
          <w:iCs/>
          <w:sz w:val="28"/>
          <w:szCs w:val="28"/>
        </w:rPr>
        <w:t>«16</w:t>
      </w:r>
      <w:r>
        <w:rPr>
          <w:i/>
          <w:iCs/>
          <w:sz w:val="28"/>
          <w:szCs w:val="28"/>
        </w:rPr>
        <w:t xml:space="preserve">» </w:t>
      </w:r>
      <w:r w:rsidR="00370A72">
        <w:rPr>
          <w:i/>
          <w:iCs/>
          <w:sz w:val="28"/>
          <w:szCs w:val="28"/>
        </w:rPr>
        <w:t>мая</w:t>
      </w:r>
      <w:r>
        <w:rPr>
          <w:i/>
          <w:iCs/>
          <w:sz w:val="28"/>
          <w:szCs w:val="28"/>
        </w:rPr>
        <w:t xml:space="preserve"> 2023 г.)</w:t>
      </w:r>
      <w:bookmarkEnd w:id="0"/>
    </w:p>
    <w:p w:rsidR="001A54B9" w:rsidRDefault="00E65CB3">
      <w:pPr>
        <w:pStyle w:val="a9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:rsidR="001A54B9" w:rsidRDefault="00E65CB3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</w:t>
      </w:r>
      <w:r w:rsidR="00370A72">
        <w:rPr>
          <w:i/>
          <w:iCs/>
          <w:sz w:val="28"/>
          <w:szCs w:val="28"/>
        </w:rPr>
        <w:t xml:space="preserve"> 18 </w:t>
      </w:r>
      <w:r>
        <w:rPr>
          <w:i/>
          <w:iCs/>
          <w:sz w:val="28"/>
          <w:szCs w:val="28"/>
        </w:rPr>
        <w:t>от «</w:t>
      </w:r>
      <w:r w:rsidR="00370A72">
        <w:rPr>
          <w:i/>
          <w:iCs/>
          <w:sz w:val="28"/>
          <w:szCs w:val="28"/>
        </w:rPr>
        <w:t>18</w:t>
      </w:r>
      <w:r>
        <w:rPr>
          <w:i/>
          <w:iCs/>
          <w:sz w:val="28"/>
          <w:szCs w:val="28"/>
        </w:rPr>
        <w:t xml:space="preserve">» </w:t>
      </w:r>
      <w:r w:rsidR="00370A72">
        <w:rPr>
          <w:i/>
          <w:iCs/>
          <w:sz w:val="28"/>
          <w:szCs w:val="28"/>
        </w:rPr>
        <w:t>апреля</w:t>
      </w:r>
      <w:r>
        <w:rPr>
          <w:i/>
          <w:iCs/>
          <w:sz w:val="28"/>
          <w:szCs w:val="28"/>
        </w:rPr>
        <w:t xml:space="preserve"> 2023 г.)</w:t>
      </w:r>
    </w:p>
    <w:p w:rsidR="001A54B9" w:rsidRDefault="001A54B9">
      <w:pPr>
        <w:pStyle w:val="a9"/>
        <w:jc w:val="center"/>
        <w:rPr>
          <w:i/>
          <w:iCs/>
          <w:sz w:val="28"/>
          <w:szCs w:val="28"/>
        </w:rPr>
      </w:pPr>
    </w:p>
    <w:p w:rsidR="001A54B9" w:rsidRDefault="001A54B9">
      <w:pPr>
        <w:pStyle w:val="a9"/>
        <w:jc w:val="center"/>
        <w:rPr>
          <w:i/>
          <w:iCs/>
          <w:sz w:val="28"/>
          <w:szCs w:val="28"/>
        </w:rPr>
      </w:pPr>
    </w:p>
    <w:p w:rsidR="001A54B9" w:rsidRDefault="00E65CB3">
      <w:pPr>
        <w:pStyle w:val="a9"/>
        <w:jc w:val="center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1A54B9" w:rsidRDefault="001A54B9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1A54B9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:rsidR="001A54B9" w:rsidRDefault="00E65CB3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1A54B9" w:rsidRDefault="001A54B9">
          <w:pPr>
            <w:pStyle w:val="1b"/>
            <w:rPr>
              <w:rFonts w:ascii="Times New Roman" w:hAnsi="Times New Roman" w:cs="Times New Roman"/>
              <w:sz w:val="28"/>
              <w:szCs w:val="28"/>
            </w:rPr>
          </w:pPr>
        </w:p>
        <w:p w:rsidR="001A54B9" w:rsidRDefault="00E65CB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27462823" w:history="1">
            <w:r>
              <w:rPr>
                <w:rStyle w:val="a3"/>
                <w:sz w:val="28"/>
                <w:szCs w:val="28"/>
              </w:rPr>
              <w:t>1. Наименование дисциплины</w:t>
            </w:r>
            <w:r>
              <w:rPr>
                <w:sz w:val="28"/>
                <w:szCs w:val="28"/>
              </w:rPr>
              <w:tab/>
              <w:t>4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4" w:history="1">
            <w:r w:rsidR="00E65CB3">
              <w:rPr>
                <w:rStyle w:val="a3"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</w:t>
            </w:r>
            <w:r w:rsidR="00E65CB3">
              <w:rPr>
                <w:rStyle w:val="a3"/>
                <w:sz w:val="24"/>
                <w:szCs w:val="24"/>
              </w:rPr>
              <w:t>указанием</w:t>
            </w:r>
            <w:r w:rsidR="00E65CB3">
              <w:rPr>
                <w:rStyle w:val="a3"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E65CB3">
              <w:rPr>
                <w:sz w:val="28"/>
                <w:szCs w:val="28"/>
              </w:rPr>
              <w:tab/>
              <w:t>4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5" w:history="1">
            <w:r w:rsidR="00E65CB3">
              <w:rPr>
                <w:rStyle w:val="a3"/>
                <w:sz w:val="28"/>
                <w:szCs w:val="28"/>
              </w:rPr>
              <w:t>3. Место дисциплины в структуре образовательной программы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5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7" w:history="1">
            <w:r w:rsidR="00E65CB3">
              <w:rPr>
                <w:rStyle w:val="a3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6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8" w:history="1">
            <w:r w:rsidR="00E65CB3">
              <w:rPr>
                <w:rStyle w:val="a3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6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sz w:val="28"/>
              <w:szCs w:val="28"/>
            </w:rPr>
          </w:pPr>
          <w:hyperlink w:anchor="_Toc127462829" w:history="1">
            <w:r w:rsidR="00E65CB3">
              <w:rPr>
                <w:rStyle w:val="a3"/>
                <w:sz w:val="28"/>
                <w:szCs w:val="28"/>
              </w:rPr>
              <w:t>5.1. Содержание дисциплины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6</w:t>
            </w:r>
          </w:hyperlink>
        </w:p>
        <w:p w:rsidR="001A54B9" w:rsidRDefault="00E65CB3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5.2. Учебно-тематический план…………………………………………………………1</w:t>
          </w:r>
          <w:r w:rsidR="00E70414">
            <w:rPr>
              <w:rFonts w:ascii="Times New Roman" w:hAnsi="Times New Roman" w:cs="Times New Roman"/>
              <w:sz w:val="28"/>
              <w:szCs w:val="28"/>
              <w:lang w:eastAsia="ru-RU"/>
            </w:rPr>
            <w:t>0</w:t>
          </w:r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0" w:history="1">
            <w:r w:rsidR="00E65CB3">
              <w:rPr>
                <w:rStyle w:val="a3"/>
                <w:sz w:val="28"/>
                <w:szCs w:val="28"/>
              </w:rPr>
              <w:t>5.3. Содержание семинаров, практических занятий</w:t>
            </w:r>
            <w:r w:rsidR="00E65CB3">
              <w:rPr>
                <w:sz w:val="28"/>
                <w:szCs w:val="28"/>
              </w:rPr>
              <w:tab/>
              <w:t>1</w:t>
            </w:r>
            <w:r w:rsidR="00E70414">
              <w:rPr>
                <w:sz w:val="28"/>
                <w:szCs w:val="28"/>
              </w:rPr>
              <w:t>1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1" w:history="1">
            <w:r w:rsidR="00E65CB3">
              <w:rPr>
                <w:rStyle w:val="a3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65CB3">
              <w:rPr>
                <w:sz w:val="28"/>
                <w:szCs w:val="28"/>
              </w:rPr>
              <w:tab/>
              <w:t>1</w:t>
            </w:r>
            <w:r w:rsidR="00E70414">
              <w:rPr>
                <w:sz w:val="28"/>
                <w:szCs w:val="28"/>
              </w:rPr>
              <w:t>5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2" w:history="1">
            <w:r w:rsidR="00E65CB3">
              <w:rPr>
                <w:rStyle w:val="a3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65CB3">
              <w:rPr>
                <w:sz w:val="28"/>
                <w:szCs w:val="28"/>
              </w:rPr>
              <w:tab/>
              <w:t>1</w:t>
            </w:r>
            <w:r w:rsidR="00E70414">
              <w:rPr>
                <w:sz w:val="28"/>
                <w:szCs w:val="28"/>
              </w:rPr>
              <w:t>5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3" w:history="1">
            <w:r w:rsidR="00E65CB3">
              <w:rPr>
                <w:rStyle w:val="a3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65CB3">
              <w:rPr>
                <w:sz w:val="28"/>
                <w:szCs w:val="28"/>
              </w:rPr>
              <w:tab/>
              <w:t>1</w:t>
            </w:r>
            <w:r w:rsidR="00E70414">
              <w:rPr>
                <w:sz w:val="28"/>
                <w:szCs w:val="28"/>
              </w:rPr>
              <w:t>7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4" w:history="1">
            <w:r w:rsidR="00E65CB3">
              <w:rPr>
                <w:rStyle w:val="a3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19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5" w:history="1">
            <w:r w:rsidR="00E65CB3">
              <w:rPr>
                <w:rStyle w:val="a3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65CB3">
              <w:rPr>
                <w:sz w:val="28"/>
                <w:szCs w:val="28"/>
              </w:rPr>
              <w:tab/>
              <w:t>2</w:t>
            </w:r>
            <w:r w:rsidR="00E70414">
              <w:rPr>
                <w:sz w:val="28"/>
                <w:szCs w:val="28"/>
              </w:rPr>
              <w:t>4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6" w:history="1">
            <w:r w:rsidR="00E65CB3">
              <w:rPr>
                <w:rStyle w:val="a3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27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7" w:history="1">
            <w:r w:rsidR="00E65CB3">
              <w:rPr>
                <w:rStyle w:val="a3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27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8" w:history="1">
            <w:r w:rsidR="00E65CB3">
              <w:rPr>
                <w:rStyle w:val="a3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28</w:t>
            </w:r>
          </w:hyperlink>
        </w:p>
        <w:p w:rsidR="001A54B9" w:rsidRDefault="00511F9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42" w:history="1">
            <w:r w:rsidR="00E65CB3">
              <w:rPr>
                <w:rStyle w:val="a3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28</w:t>
            </w:r>
          </w:hyperlink>
        </w:p>
        <w:p w:rsidR="001A54B9" w:rsidRDefault="00E65CB3">
          <w:pPr>
            <w:sectPr w:rsidR="001A54B9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1A54B9" w:rsidRDefault="00E70414" w:rsidP="00E70414">
      <w:pPr>
        <w:pStyle w:val="1"/>
        <w:keepNext w:val="0"/>
        <w:keepLines w:val="0"/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7462823"/>
      <w:bookmarkStart w:id="2" w:name="_Ref8328953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          </w:t>
      </w:r>
      <w:r w:rsidR="00E65CB3"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bookmarkEnd w:id="2"/>
      <w:r w:rsidR="00E65C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A54B9" w:rsidRDefault="00E65CB3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«</w:t>
      </w:r>
      <w:r>
        <w:rPr>
          <w:rFonts w:ascii="Times New Roman" w:hAnsi="Times New Roman"/>
          <w:color w:val="000000"/>
          <w:sz w:val="28"/>
          <w:szCs w:val="28"/>
        </w:rPr>
        <w:t>Рынок цифровых финансовых активов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A54B9" w:rsidRDefault="00E65CB3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A54B9" w:rsidRDefault="00E65CB3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Ref83289540"/>
      <w:bookmarkStart w:id="4" w:name="_Toc12746282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:rsidR="001A54B9" w:rsidRDefault="00E65CB3">
      <w:pPr>
        <w:pStyle w:val="a9"/>
        <w:widowControl w:val="0"/>
        <w:suppressAutoHyphens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ab/>
        <w:t xml:space="preserve">        Таблица 1</w:t>
      </w:r>
    </w:p>
    <w:tbl>
      <w:tblPr>
        <w:tblW w:w="9461" w:type="dxa"/>
        <w:tblInd w:w="-4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914"/>
        <w:gridCol w:w="2431"/>
        <w:gridCol w:w="2885"/>
        <w:gridCol w:w="3231"/>
      </w:tblGrid>
      <w:tr w:rsidR="00370A72">
        <w:trPr>
          <w:trHeight w:val="8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A72" w:rsidRPr="00370A72" w:rsidRDefault="00370A72" w:rsidP="00370A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70A72">
              <w:rPr>
                <w:b/>
                <w:sz w:val="24"/>
                <w:szCs w:val="24"/>
              </w:rPr>
              <w:t>Код компет енции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A72" w:rsidRPr="00117C3A" w:rsidRDefault="00370A72" w:rsidP="00370A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17C3A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A72" w:rsidRPr="00117C3A" w:rsidRDefault="00370A72" w:rsidP="00370A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17C3A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A72" w:rsidRPr="00117C3A" w:rsidRDefault="00370A72" w:rsidP="00370A7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117C3A">
              <w:rPr>
                <w:b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A54B9">
        <w:trPr>
          <w:trHeight w:val="2534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TableParagraph"/>
            </w:pPr>
            <w:r>
              <w:rPr>
                <w:rFonts w:eastAsiaTheme="minorHAnsi" w:cstheme="minorBidi"/>
                <w:sz w:val="24"/>
                <w:szCs w:val="24"/>
              </w:rPr>
              <w:t>ПК</w:t>
            </w:r>
            <w:r>
              <w:rPr>
                <w:color w:val="000000"/>
                <w:sz w:val="24"/>
                <w:szCs w:val="24"/>
                <w:lang w:val="ru-RU" w:eastAsia="ru-RU" w:bidi="ru-RU"/>
              </w:rPr>
              <w:t>П-1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Default"/>
              <w:widowControl w:val="0"/>
              <w:jc w:val="both"/>
            </w:pPr>
            <w:r>
              <w:rPr>
                <w:rStyle w:val="FontStyle12"/>
                <w:sz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современный инструментарий рынка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современный инструментарий рынка цифровых активов</w:t>
            </w:r>
          </w:p>
        </w:tc>
      </w:tr>
      <w:tr w:rsidR="001A54B9">
        <w:trPr>
          <w:trHeight w:val="3089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2.Применяет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основы прогнозирования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новых явлений на рынке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прогнозировать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новые явления на рынке цифровых активов</w:t>
            </w:r>
          </w:p>
        </w:tc>
      </w:tr>
      <w:tr w:rsidR="001A54B9">
        <w:trPr>
          <w:trHeight w:val="1408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Default"/>
              <w:widowControl w:val="0"/>
              <w:jc w:val="both"/>
            </w:pPr>
            <w: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 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новые финансовые технологии, применяемые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370A72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использовать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 xml:space="preserve"> новые финансовые технологии на </w:t>
            </w:r>
            <w:r w:rsidR="00E65CB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1A54B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4B9" w:rsidTr="00370A72">
        <w:trPr>
          <w:trHeight w:val="1745"/>
        </w:trPr>
        <w:tc>
          <w:tcPr>
            <w:tcW w:w="9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pStyle w:val="Default"/>
              <w:widowControl w:val="0"/>
              <w:jc w:val="both"/>
            </w:pPr>
          </w:p>
        </w:tc>
        <w:tc>
          <w:tcPr>
            <w:tcW w:w="28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Yu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32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проблемы использования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азрабатывать рекомендации по их преодолению</w:t>
            </w:r>
          </w:p>
        </w:tc>
      </w:tr>
      <w:tr w:rsidR="001A54B9">
        <w:trPr>
          <w:trHeight w:val="1660"/>
        </w:trPr>
        <w:tc>
          <w:tcPr>
            <w:tcW w:w="91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ПКП-3</w:t>
            </w:r>
          </w:p>
          <w:p w:rsidR="001A54B9" w:rsidRDefault="001A54B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Default"/>
              <w:widowControl w:val="0"/>
              <w:jc w:val="both"/>
            </w:pPr>
            <w: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rStyle w:val="FontStyle12"/>
                <w:sz w:val="24"/>
                <w:szCs w:val="24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32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sz w:val="24"/>
                <w:szCs w:val="24"/>
              </w:rPr>
              <w:t>риски применения финансовых технологий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sz w:val="24"/>
                <w:szCs w:val="24"/>
              </w:rPr>
              <w:t>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</w:tc>
      </w:tr>
      <w:tr w:rsidR="001A54B9" w:rsidTr="00370A72">
        <w:trPr>
          <w:trHeight w:val="1660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32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риски применения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азрабатывать комплекс мероприятий по минимизации рисков применения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1A54B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4B9" w:rsidTr="00370A72">
        <w:trPr>
          <w:trHeight w:val="970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TableParagraph"/>
            </w:pPr>
            <w:r>
              <w:rPr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Default"/>
              <w:widowControl w:val="0"/>
              <w:jc w:val="both"/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pacing w:line="240" w:lineRule="auto"/>
              <w:jc w:val="both"/>
              <w:rPr>
                <w:lang w:eastAsia="ru-RU"/>
              </w:rPr>
            </w:pPr>
            <w:r>
              <w:rPr>
                <w:rStyle w:val="FontStyle12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логические основы </w:t>
            </w:r>
            <w:r>
              <w:rPr>
                <w:rStyle w:val="FontStyle12"/>
                <w:sz w:val="24"/>
                <w:szCs w:val="24"/>
              </w:rPr>
              <w:t>анализа деятельности экономического субъекта на рынке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</w:t>
            </w:r>
            <w:r>
              <w:rPr>
                <w:rStyle w:val="FontStyle12"/>
                <w:sz w:val="24"/>
                <w:szCs w:val="24"/>
              </w:rPr>
              <w:t>приемы обоснования оперативных, тактических и стратегических управленческих решений экономического субъекта на рынке цифровых активов</w:t>
            </w:r>
          </w:p>
        </w:tc>
      </w:tr>
      <w:tr w:rsidR="001A54B9" w:rsidTr="00370A72">
        <w:trPr>
          <w:trHeight w:val="970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32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теоретические основы решения профессиональных задач на рынке цифровых активов в условиях неопределенности</w:t>
            </w:r>
          </w:p>
          <w:p w:rsidR="001A54B9" w:rsidRDefault="00E65CB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решать профессиональные задачи на рынке цифровых активов в условиях неопределенности</w:t>
            </w:r>
          </w:p>
        </w:tc>
      </w:tr>
    </w:tbl>
    <w:p w:rsidR="001A54B9" w:rsidRDefault="001A54B9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1A54B9" w:rsidRDefault="001A54B9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54B9" w:rsidRDefault="00E65CB3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27462825"/>
      <w:bookmarkStart w:id="6" w:name="_Ref83289544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:rsidR="001A54B9" w:rsidRDefault="00E65CB3">
      <w:pPr>
        <w:pStyle w:val="1"/>
        <w:keepNext w:val="0"/>
        <w:keepLines w:val="0"/>
        <w:suppressAutoHyphens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bookmarkStart w:id="7" w:name="_Ref83289561"/>
      <w:r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>
        <w:rPr>
          <w:rFonts w:ascii="Times New Roman" w:hAnsi="Times New Roman"/>
          <w:color w:val="000000"/>
          <w:sz w:val="28"/>
          <w:szCs w:val="28"/>
        </w:rPr>
        <w:t>Рынок цифровых финансовых активов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» входит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 профиль «</w:t>
      </w:r>
      <w:r w:rsidR="00370A72" w:rsidRPr="00370A7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Финансовые рынки и финтех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»</w:t>
      </w:r>
      <w:r w:rsidR="00370A7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, ОП «Экономика и финансы»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по направлению подготовки 38.0</w:t>
      </w:r>
      <w:r w:rsidR="00EF261E">
        <w:rPr>
          <w:rFonts w:ascii="Times New Roman" w:hAnsi="Times New Roman"/>
          <w:color w:val="000000"/>
          <w:sz w:val="28"/>
          <w:szCs w:val="28"/>
          <w:u w:color="000000"/>
        </w:rPr>
        <w:t>3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.01 – Экономика.</w:t>
      </w:r>
    </w:p>
    <w:p w:rsidR="001A54B9" w:rsidRDefault="001A54B9">
      <w:pPr>
        <w:widowControl w:val="0"/>
        <w:suppressAutoHyphens w:val="0"/>
        <w:rPr>
          <w:lang w:eastAsia="ru-RU"/>
        </w:rPr>
      </w:pPr>
    </w:p>
    <w:p w:rsidR="001A54B9" w:rsidRDefault="001A54B9">
      <w:pPr>
        <w:pStyle w:val="1"/>
        <w:keepNext w:val="0"/>
        <w:keepLines w:val="0"/>
        <w:suppressAutoHyphens w:val="0"/>
        <w:spacing w:before="0" w:line="12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7462827"/>
    </w:p>
    <w:p w:rsidR="001A54B9" w:rsidRDefault="00E65CB3">
      <w:pPr>
        <w:pStyle w:val="1"/>
        <w:keepNext w:val="0"/>
        <w:keepLines w:val="0"/>
        <w:suppressAutoHyphens w:val="0"/>
        <w:spacing w:before="0" w:line="30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:rsidR="001A54B9" w:rsidRDefault="00E65CB3">
      <w:pPr>
        <w:pStyle w:val="a9"/>
        <w:widowControl w:val="0"/>
        <w:suppressAutoHyphens w:val="0"/>
        <w:spacing w:after="0" w:line="360" w:lineRule="auto"/>
        <w:ind w:left="567"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46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4958"/>
        <w:gridCol w:w="2916"/>
        <w:gridCol w:w="1472"/>
      </w:tblGrid>
      <w:tr w:rsidR="001A54B9">
        <w:trPr>
          <w:trHeight w:val="380"/>
          <w:tblHeader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по дисциплине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в з/е и часах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7</w:t>
            </w:r>
          </w:p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1A54B9">
        <w:trPr>
          <w:trHeight w:val="146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 трудоёмкость дисциплины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3/108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1A54B9"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1A54B9">
        <w:trPr>
          <w:trHeight w:val="359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Лекции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1A54B9"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Семинары, </w:t>
            </w:r>
            <w:r w:rsidR="00370A72">
              <w:rPr>
                <w:rFonts w:ascii="Times New Roman" w:hAnsi="Times New Roman"/>
                <w:i/>
              </w:rPr>
              <w:t>практические занятия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1A54B9"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1A54B9"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текущего контроля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</w:tr>
      <w:tr w:rsidR="001A54B9">
        <w:trPr>
          <w:trHeight w:val="411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</w:tr>
    </w:tbl>
    <w:p w:rsidR="001A54B9" w:rsidRDefault="00E65CB3">
      <w:pPr>
        <w:pStyle w:val="a9"/>
        <w:widowControl w:val="0"/>
        <w:suppressAutoHyphens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1A54B9" w:rsidRDefault="00E65CB3">
      <w:pPr>
        <w:pStyle w:val="1"/>
        <w:keepNext w:val="0"/>
        <w:keepLines w:val="0"/>
        <w:suppressAutoHyphens w:val="0"/>
        <w:spacing w:after="120" w:line="30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7462828"/>
      <w:bookmarkStart w:id="10" w:name="_Ref83289567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:rsidR="001A54B9" w:rsidRDefault="00E65CB3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27462829"/>
      <w:bookmarkStart w:id="12" w:name="_Ref83289570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1"/>
      <w:bookmarkEnd w:id="12"/>
    </w:p>
    <w:p w:rsidR="001A54B9" w:rsidRDefault="001A54B9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1. Понятие и </w:t>
      </w:r>
      <w:r w:rsidR="00370A72">
        <w:rPr>
          <w:rFonts w:ascii="Times New Roman" w:hAnsi="Times New Roman" w:cs="Times New Roman"/>
          <w:b/>
          <w:bCs/>
          <w:sz w:val="28"/>
          <w:szCs w:val="28"/>
        </w:rPr>
        <w:t>структура рынка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цифровых активов.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структура рынка цифровых активов. Его соотношение с традиционным финансовым рынком. Особенности и анализ доли рынка.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рисков в криптосфере. Проблематика баланса рисков и инноваций. Взаимодействие рынков традиционных и цифровых финансовых инструментов. Проблематика системного риска на рынке цифровых активов.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 и перспективы развития рынка цифровых активов. Специфика и проблематика развития рынка цифровых активов.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 Технология блокчейн: особенности, технологические вызовы, применимость. 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технологии блокчейн. Основные определения: нода, майнинг, хешрейт, форк, атака 51%, кошелек, токен.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Хеш функция и принципы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Proof-of-Work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Proof-of-St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Разные протоколы и сравнительный анализ из использования. 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выпуска криптовалюты (токен) на примере. Выбираем подходящий блокчейн.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масштабирования второго уровня. Кроссчейн-мосты.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 Таксономия и типологизация цифровых активов.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  <w:lang w:eastAsia="fr-FR"/>
        </w:rPr>
        <w:t xml:space="preserve">Таксономия и типологизация цифровых активов: доктринальные подходы, позиции международных регуляторов и аналитических центров. 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  <w:lang w:eastAsia="fr-FR"/>
        </w:rPr>
        <w:t>Цифровые и оцифрованные активы. Служебные, инвестиционные и платежные токены. Промежуточные и синтетические токены.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инструменты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стейблкоины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DeFi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NFT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CBDC</w:t>
      </w:r>
      <w:r>
        <w:rPr>
          <w:rFonts w:ascii="Times New Roman" w:hAnsi="Times New Roman" w:cs="Times New Roman"/>
          <w:sz w:val="28"/>
          <w:szCs w:val="28"/>
        </w:rPr>
        <w:t>), новые виды посредников (</w:t>
      </w:r>
      <w:r>
        <w:rPr>
          <w:rFonts w:ascii="Times New Roman" w:hAnsi="Times New Roman" w:cs="Times New Roman"/>
          <w:sz w:val="28"/>
          <w:szCs w:val="28"/>
          <w:lang w:val="en-US"/>
        </w:rPr>
        <w:t>DEX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DAO</w:t>
      </w:r>
      <w:r>
        <w:rPr>
          <w:rFonts w:ascii="Times New Roman" w:hAnsi="Times New Roman" w:cs="Times New Roman"/>
          <w:sz w:val="28"/>
          <w:szCs w:val="28"/>
        </w:rPr>
        <w:t xml:space="preserve">, Р2Р-платформы). 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Актуальные вопросы токенизации активов, криптодеривативы.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классификации токенсейлов (</w:t>
      </w:r>
      <w:r>
        <w:rPr>
          <w:rFonts w:ascii="Times New Roman" w:hAnsi="Times New Roman" w:cs="Times New Roman"/>
          <w:sz w:val="28"/>
          <w:szCs w:val="28"/>
          <w:lang w:val="en-US"/>
        </w:rPr>
        <w:t>ICO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STO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IDO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IICO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IEO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IGO</w:t>
      </w:r>
      <w:r>
        <w:rPr>
          <w:rFonts w:ascii="Times New Roman" w:hAnsi="Times New Roman" w:cs="Times New Roman"/>
          <w:sz w:val="28"/>
          <w:szCs w:val="28"/>
        </w:rPr>
        <w:t xml:space="preserve"> и др.). Особенности, схемы размещения, риски.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Международное регуляторное поле оборота цифровых активов. Передовой зарубежный опыт функционирования рынка цифровых активов.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Международная регуляторная рамка оборота цифровых активов (Совет по финансовой стабильности, ФАТФ, БМР, МОКЦБ и др.)</w:t>
      </w:r>
    </w:p>
    <w:p w:rsidR="001A54B9" w:rsidRDefault="00E65CB3">
      <w:pPr>
        <w:spacing w:after="0" w:line="360" w:lineRule="auto"/>
        <w:ind w:firstLine="709"/>
        <w:jc w:val="both"/>
        <w:rPr>
          <w:rStyle w:val="A30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ФАТФ как ведущий стандарт-сеттер на крипторынке: базовая таксономия, </w:t>
      </w:r>
      <w:r>
        <w:rPr>
          <w:rFonts w:ascii="Times New Roman" w:hAnsi="Times New Roman" w:cs="Times New Roman"/>
          <w:sz w:val="28"/>
          <w:szCs w:val="28"/>
          <w:lang w:val="en-US"/>
        </w:rPr>
        <w:t>VASP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Travel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Rule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Виртуальные активы: определение ФАТФ, риски ОД/ФТ, отличия от электронных и депозитных денег. </w:t>
      </w:r>
      <w:r>
        <w:rPr>
          <w:rStyle w:val="A30"/>
          <w:rFonts w:ascii="Times New Roman" w:hAnsi="Times New Roman" w:cs="Times New Roman"/>
          <w:b w:val="0"/>
          <w:bCs w:val="0"/>
          <w:sz w:val="28"/>
          <w:szCs w:val="28"/>
        </w:rPr>
        <w:t>Проблематика имплементации Стандартов ФАТФ в части виртуальных активов и ПУВА.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  <w:lang w:eastAsia="fr-FR"/>
        </w:rPr>
        <w:t>Рост внимания ФАТФ к децентрализованным инструментам и платформам (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fr-FR"/>
        </w:rPr>
        <w:t>DeFi</w:t>
      </w:r>
      <w:proofErr w:type="spellEnd"/>
      <w:r>
        <w:rPr>
          <w:rFonts w:ascii="Times New Roman" w:hAnsi="Times New Roman" w:cs="Times New Roman"/>
          <w:sz w:val="28"/>
          <w:szCs w:val="28"/>
          <w:lang w:eastAsia="fr-FR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 w:eastAsia="fr-FR"/>
        </w:rPr>
        <w:t>DEX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 w:eastAsia="fr-FR"/>
        </w:rPr>
        <w:t>DAO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 и др.). </w:t>
      </w:r>
      <w:r>
        <w:rPr>
          <w:rFonts w:ascii="Times New Roman" w:hAnsi="Times New Roman" w:cs="Times New Roman"/>
          <w:sz w:val="28"/>
          <w:szCs w:val="28"/>
          <w:lang w:val="en-US" w:eastAsia="fr-FR"/>
        </w:rPr>
        <w:t>NFT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 в свете рисков ОД/ФТ, иных финансовых и нефинансовых рисков.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fr-FR"/>
        </w:rPr>
        <w:lastRenderedPageBreak/>
        <w:t xml:space="preserve">Развитие проблематики </w:t>
      </w:r>
      <w:r>
        <w:rPr>
          <w:rFonts w:ascii="Times New Roman" w:hAnsi="Times New Roman" w:cs="Times New Roman"/>
          <w:sz w:val="28"/>
          <w:szCs w:val="28"/>
          <w:lang w:val="en-US" w:eastAsia="fr-FR"/>
        </w:rPr>
        <w:t>CBDC</w:t>
      </w:r>
      <w:r>
        <w:rPr>
          <w:rFonts w:ascii="Times New Roman" w:hAnsi="Times New Roman" w:cs="Times New Roman"/>
          <w:sz w:val="28"/>
          <w:szCs w:val="28"/>
          <w:lang w:eastAsia="fr-FR"/>
        </w:rPr>
        <w:t>. Исследования БМР, ФАТФ, МВФ и др</w:t>
      </w:r>
      <w:r>
        <w:rPr>
          <w:rFonts w:ascii="Times New Roman" w:hAnsi="Times New Roman" w:cs="Times New Roman"/>
          <w:sz w:val="28"/>
          <w:szCs w:val="28"/>
        </w:rPr>
        <w:t xml:space="preserve">. Проблематика стейблкоинов: понятие, типология, риски. Позиции СФС, ФАТФ, МОКЦБ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Крипто-регулирование в США: федеральный уровень, законодательство штатов. Специфика комплексного (кросс-секторального) крипто-комплаенса на финансовом рынке США. Кейсы принудительных мер со стороны регуляторов.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по обороту криптоактивов в ЕС (</w:t>
      </w:r>
      <w:r>
        <w:rPr>
          <w:rFonts w:ascii="Times New Roman" w:hAnsi="Times New Roman" w:cs="Times New Roman"/>
          <w:sz w:val="28"/>
          <w:szCs w:val="28"/>
          <w:lang w:val="en-US"/>
        </w:rPr>
        <w:t>MICAR</w:t>
      </w:r>
      <w:r>
        <w:rPr>
          <w:rFonts w:ascii="Times New Roman" w:hAnsi="Times New Roman" w:cs="Times New Roman"/>
          <w:sz w:val="28"/>
          <w:szCs w:val="28"/>
        </w:rPr>
        <w:t>): особенности режима, дискуссионное поле, требования для корпоративных комплаенс-систем. Пакет законодательных предложений по централизации антиотмывочного надзора в ЕС: влияние на крипторынок.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крипторынка в Швейцарии, Лихтенштейна, Мальте, ОАЭ, Сингапуре, Южной Кореи, Японии.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 регулирование крипторынка в государствах евразийского региона.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крипто-адаптации в различных регионах мира (карта). Анализ объема мирового крипторынка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Coinmarketcap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 перспективных крипто-проектов.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fr-FR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</w:rPr>
        <w:t>Тема 5. Правовые и институциональные основы финтех-</w:t>
      </w:r>
      <w:r w:rsidR="00370A72">
        <w:rPr>
          <w:rFonts w:ascii="Times New Roman" w:eastAsia="SimSun" w:hAnsi="Times New Roman" w:cs="Times New Roman"/>
          <w:b/>
          <w:bCs/>
          <w:sz w:val="28"/>
          <w:szCs w:val="28"/>
        </w:rPr>
        <w:t>отрасли в</w:t>
      </w:r>
      <w:r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России.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Направления развития цифровой экономики: возможности и риски для бизнеса. Основные положения национального проекта «Цифровая экономика РФ».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Компетенция Банка России в области регулирования рынка цифровых активов, основные документы. АНО «Цифровая экономика», РАКИБ, АФТ, профильные ассоциации и сообщества.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Состав «цифровых» законов: общая характеристика. Цифровые платежные технологии (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PayTech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 xml:space="preserve">). Открытый банкинг и финансовые </w:t>
      </w:r>
      <w:r>
        <w:rPr>
          <w:rFonts w:ascii="Times New Roman" w:eastAsia="SimSun" w:hAnsi="Times New Roman" w:cs="Times New Roman"/>
          <w:sz w:val="28"/>
          <w:szCs w:val="28"/>
        </w:rPr>
        <w:lastRenderedPageBreak/>
        <w:t>маркетплейсы. Основы финтех-кредитования и альтернативного финансирования. Цифровые технологий в страховании (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InsurTech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).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Оборот цифровых активов на финансовом рынке России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Понятие, механизм, риски и правовой режим выпуска и оборота цифровых финансовых активов, утилитарных цифровых прав, цифровых валют.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ЦФА. ЦФА на денежные требования, товары, предметы искусства, эмиссия ЦФА, доходную оборотку, недвижимость и др.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Гибридизация цифровых прав: понятие, проекты.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Проблематика цифровых денег центральных банков, правовые основы их выпуска и обращения.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Современное состояние, проблематика, дискуссионное поле, правоприменительная практика. 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7. Деятельность посредников на рынке цифровых активов России.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операторов выпуска и обмена ЦФА, требования к ним. Правовой статус инвестиционных и финансовых платформ, требования к ним.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Функционал инвестиционных платформ, объем рынка, проблемы и тренды. Финансовые платформы как инфраструктурный элемент финансового маркетплейса. </w:t>
      </w:r>
      <w:r>
        <w:rPr>
          <w:rFonts w:ascii="Times New Roman" w:hAnsi="Times New Roman" w:cs="Times New Roman"/>
          <w:sz w:val="28"/>
          <w:szCs w:val="28"/>
          <w:lang w:val="en-US"/>
        </w:rPr>
        <w:t>Open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API</w:t>
      </w:r>
      <w:r>
        <w:rPr>
          <w:rFonts w:ascii="Times New Roman" w:hAnsi="Times New Roman" w:cs="Times New Roman"/>
          <w:sz w:val="28"/>
          <w:szCs w:val="28"/>
        </w:rPr>
        <w:t>. Финансовые платформы и ЦФА.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Московской биржи и инфраструктур финансового рынка (НРД, НКЦ) в цифровизации финансового рынка.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Возможные схемы оборота цифровых активов. </w:t>
      </w:r>
    </w:p>
    <w:p w:rsidR="001A54B9" w:rsidRDefault="001A54B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8. Недобросовестное поведение и правонарушения на рынке цифровых активов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Понятие и виды недобросовестных практик на рынке </w:t>
      </w:r>
      <w:r w:rsidR="00370A72">
        <w:rPr>
          <w:rFonts w:ascii="Times New Roman" w:hAnsi="Times New Roman" w:cs="Times New Roman"/>
          <w:sz w:val="28"/>
          <w:szCs w:val="28"/>
        </w:rPr>
        <w:t>цифровых активов</w:t>
      </w:r>
      <w:r>
        <w:rPr>
          <w:rFonts w:ascii="Times New Roman" w:hAnsi="Times New Roman" w:cs="Times New Roman"/>
          <w:sz w:val="28"/>
          <w:szCs w:val="28"/>
        </w:rPr>
        <w:t>. Основные виды правонарушений на крипторынке. Криптопреступность. Примеры принудительных мер со стороны регуляторов рынка.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аналитических центров (</w:t>
      </w:r>
      <w:r>
        <w:rPr>
          <w:rFonts w:ascii="Times New Roman" w:hAnsi="Times New Roman" w:cs="Times New Roman"/>
          <w:sz w:val="28"/>
          <w:szCs w:val="28"/>
          <w:lang w:val="en-US"/>
        </w:rPr>
        <w:t>CCAF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Digital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Chamber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Commerce</w:t>
      </w:r>
      <w:r>
        <w:rPr>
          <w:rFonts w:ascii="Times New Roman" w:hAnsi="Times New Roman" w:cs="Times New Roman"/>
          <w:sz w:val="28"/>
          <w:szCs w:val="28"/>
        </w:rPr>
        <w:t>) и поставщиков аналитики блокчейн-транзакций (</w:t>
      </w:r>
      <w:r>
        <w:rPr>
          <w:rFonts w:ascii="Times New Roman" w:hAnsi="Times New Roman" w:cs="Times New Roman"/>
          <w:sz w:val="28"/>
          <w:szCs w:val="28"/>
          <w:lang w:val="en-US"/>
        </w:rPr>
        <w:t>Crystal</w:t>
      </w:r>
      <w:r>
        <w:rPr>
          <w:rFonts w:ascii="Times New Roman" w:hAnsi="Times New Roman" w:cs="Times New Roman"/>
          <w:sz w:val="28"/>
          <w:szCs w:val="28"/>
        </w:rPr>
        <w:t>, С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iphertrace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Elliptic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Chainanalysis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 в развитии инструментария финансовых расследований.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Санкции и цифровые активы: современные тренды и перспективы.  Кейсы, связанные с правонарушениями на рынке цифровых активов. 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1A5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A54B9" w:rsidRDefault="00E65C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5.2.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:rsidR="001A54B9" w:rsidRDefault="00E65CB3">
      <w:pPr>
        <w:pStyle w:val="a9"/>
        <w:widowControl w:val="0"/>
        <w:suppressAutoHyphens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3</w:t>
      </w:r>
    </w:p>
    <w:tbl>
      <w:tblPr>
        <w:tblStyle w:val="TableNormal"/>
        <w:tblW w:w="9496" w:type="dxa"/>
        <w:tblInd w:w="-5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567"/>
        <w:gridCol w:w="850"/>
        <w:gridCol w:w="709"/>
        <w:gridCol w:w="1417"/>
        <w:gridCol w:w="851"/>
        <w:gridCol w:w="2975"/>
      </w:tblGrid>
      <w:tr w:rsidR="001A54B9">
        <w:trPr>
          <w:trHeight w:val="28"/>
          <w:tblHeader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1A54B9">
        <w:trPr>
          <w:trHeight w:val="318"/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–</w:t>
            </w:r>
          </w:p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Самостоя</w:t>
            </w:r>
            <w:proofErr w:type="spellEnd"/>
            <w:r>
              <w:rPr>
                <w:b/>
                <w:bCs/>
                <w:sz w:val="22"/>
                <w:szCs w:val="22"/>
              </w:rPr>
              <w:t>-</w:t>
            </w:r>
          </w:p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тельная </w:t>
            </w:r>
            <w:r>
              <w:rPr>
                <w:b/>
                <w:bCs/>
                <w:sz w:val="22"/>
                <w:szCs w:val="22"/>
              </w:rPr>
              <w:br/>
              <w:t>работа</w:t>
            </w:r>
          </w:p>
        </w:tc>
        <w:tc>
          <w:tcPr>
            <w:tcW w:w="2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4B9">
        <w:trPr>
          <w:trHeight w:val="200"/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структура рынка цифровых активов.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 xml:space="preserve">научная дискуссия. 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блокчейн: особенности, технологические вызовы, применимость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>научная дискуссия.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Таксономия и типологизация цифровых активов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>научная дискуссия.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Международное регуляторное поле оборота цифровых активов. </w:t>
            </w:r>
            <w:r>
              <w:rPr>
                <w:sz w:val="24"/>
                <w:szCs w:val="24"/>
              </w:rPr>
              <w:lastRenderedPageBreak/>
              <w:t>Передовой зарубежный опыт функционирования рынка цифровых активов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11F9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дискуссии, опрос.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 w:rsidP="00511F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Правовые и институциональные основы финтех-</w:t>
            </w:r>
            <w:r w:rsidR="00511F90">
              <w:rPr>
                <w:rFonts w:ascii="Times New Roman" w:eastAsia="SimSun" w:hAnsi="Times New Roman" w:cs="Times New Roman"/>
                <w:sz w:val="24"/>
                <w:szCs w:val="24"/>
              </w:rPr>
              <w:t>отрасли в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дискуссии, опрос.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 w:rsidP="00511F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Оборот цифровых активов на </w:t>
            </w:r>
            <w:r w:rsidR="00511F90">
              <w:rPr>
                <w:rFonts w:ascii="Times New Roman" w:hAnsi="Times New Roman" w:cs="Times New Roman"/>
                <w:sz w:val="24"/>
                <w:szCs w:val="24"/>
              </w:rPr>
              <w:t>финансовом рынке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</w:t>
            </w:r>
            <w:r w:rsidR="00511F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задание, дискуссии, опрос.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посредников на рынке цифровых активов</w:t>
            </w:r>
            <w:r w:rsidR="00511F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>научная дискуссия.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Недобросовестное поведение и правонарушения на рынке цифровых активов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>научная дискуссия.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ind w:left="62" w:right="65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Согласно учебному плану: Эссе.</w:t>
            </w:r>
          </w:p>
        </w:tc>
      </w:tr>
      <w:tr w:rsidR="001A54B9">
        <w:trPr>
          <w:trHeight w:val="36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</w:t>
            </w:r>
            <w:r w:rsidR="00511F90">
              <w:rPr>
                <w:sz w:val="24"/>
                <w:szCs w:val="24"/>
              </w:rPr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A54B9" w:rsidRDefault="001A54B9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3" w:name="_Ref83289576"/>
      <w:bookmarkStart w:id="14" w:name="_Toc127462830"/>
    </w:p>
    <w:p w:rsidR="001A54B9" w:rsidRDefault="00E65CB3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13"/>
      <w:bookmarkEnd w:id="14"/>
    </w:p>
    <w:p w:rsidR="001A54B9" w:rsidRDefault="001A54B9">
      <w:pPr>
        <w:pStyle w:val="ab"/>
        <w:spacing w:line="120" w:lineRule="auto"/>
        <w:ind w:firstLine="709"/>
        <w:jc w:val="right"/>
        <w:rPr>
          <w:szCs w:val="28"/>
        </w:rPr>
      </w:pPr>
    </w:p>
    <w:p w:rsidR="001A54B9" w:rsidRDefault="00E65CB3">
      <w:pPr>
        <w:pStyle w:val="ab"/>
        <w:spacing w:line="120" w:lineRule="auto"/>
        <w:ind w:firstLine="709"/>
        <w:jc w:val="right"/>
        <w:rPr>
          <w:szCs w:val="28"/>
        </w:rPr>
      </w:pPr>
      <w:r>
        <w:rPr>
          <w:szCs w:val="28"/>
        </w:rPr>
        <w:t xml:space="preserve">                           </w:t>
      </w:r>
    </w:p>
    <w:p w:rsidR="001A54B9" w:rsidRDefault="00E65CB3">
      <w:pPr>
        <w:pStyle w:val="ab"/>
        <w:spacing w:after="240"/>
        <w:ind w:firstLine="709"/>
        <w:jc w:val="right"/>
        <w:rPr>
          <w:b w:val="0"/>
          <w:szCs w:val="28"/>
        </w:rPr>
      </w:pPr>
      <w:r>
        <w:rPr>
          <w:b w:val="0"/>
          <w:szCs w:val="28"/>
        </w:rPr>
        <w:t>Таблица 4</w:t>
      </w:r>
    </w:p>
    <w:tbl>
      <w:tblPr>
        <w:tblW w:w="520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130"/>
        <w:gridCol w:w="5239"/>
        <w:gridCol w:w="2354"/>
      </w:tblGrid>
      <w:tr w:rsidR="001A54B9">
        <w:trPr>
          <w:trHeight w:val="1460"/>
          <w:tblHeader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</w:t>
            </w:r>
          </w:p>
          <w:p w:rsidR="001A54B9" w:rsidRDefault="00E65CB3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занятий</w:t>
            </w:r>
          </w:p>
        </w:tc>
      </w:tr>
      <w:tr w:rsidR="001A54B9">
        <w:trPr>
          <w:trHeight w:val="2513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Понятие и структура рынка цифровых активов.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структура рынка цифровых активов. Соотношение рынка цифровых активов с традиционным финансовым рынком. Особенности и анализ доли рынка.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 перспективы развития крипто рынка. Преимущества.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ЦФА и Цифровые национальные валюты (CBDC) на службе Государства.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и проблематика развития рынка цифровых активов</w:t>
            </w:r>
          </w:p>
          <w:p w:rsidR="001A54B9" w:rsidRDefault="001A54B9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4-23.</w:t>
            </w:r>
          </w:p>
          <w:p w:rsidR="001A54B9" w:rsidRDefault="00E65CB3">
            <w:pPr>
              <w:pStyle w:val="Default"/>
              <w:spacing w:line="233" w:lineRule="auto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9 – 5</w:t>
            </w:r>
            <w:r>
              <w:rPr>
                <w:bCs/>
                <w:i/>
              </w:rPr>
              <w:t>-9</w:t>
            </w:r>
            <w:r>
              <w:rPr>
                <w:bCs/>
                <w:i/>
                <w:lang w:val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1A54B9" w:rsidRDefault="00E333E7" w:rsidP="00E70414">
            <w:pPr>
              <w:pStyle w:val="Default"/>
              <w:widowControl w:val="0"/>
              <w:spacing w:line="233" w:lineRule="auto"/>
            </w:pPr>
            <w:r>
              <w:t>Разбор практических ситуаций, кейсов</w:t>
            </w:r>
            <w:r w:rsidR="00E65CB3">
              <w:t>, посвященны</w:t>
            </w:r>
            <w:r>
              <w:t>х</w:t>
            </w:r>
            <w:r w:rsidR="00E65CB3">
              <w:t xml:space="preserve"> отдельным проблемным вопросам.</w:t>
            </w:r>
          </w:p>
        </w:tc>
      </w:tr>
      <w:tr w:rsidR="001A54B9">
        <w:trPr>
          <w:trHeight w:val="3014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Технология блокчейн: особенности, технологические вызовы, применимость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технологии блокчейн. Основные определения: нода, майнинг, хешрейт, форк, атака 51%, кошелек, токен.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Хеш функция и принципы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Proof-of-Work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Proof-of-Stake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Разные протоколы и сравнительный анализ из использования. </w:t>
            </w:r>
          </w:p>
          <w:p w:rsidR="001A54B9" w:rsidRDefault="00E70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 xml:space="preserve"> выпуска криптовалюты (токен) на примере. Выбираем подходящий блокчейн.</w:t>
            </w:r>
          </w:p>
          <w:p w:rsidR="001A54B9" w:rsidRDefault="00E65CB3">
            <w:pPr>
              <w:pStyle w:val="Default"/>
              <w:spacing w:line="233" w:lineRule="auto"/>
              <w:jc w:val="both"/>
            </w:pPr>
            <w:r>
              <w:t>Решения масштабирования второго уровня. Кроссчейн-мосты.</w:t>
            </w:r>
          </w:p>
          <w:p w:rsidR="001A54B9" w:rsidRDefault="00E65CB3">
            <w:pPr>
              <w:pStyle w:val="Default"/>
              <w:spacing w:line="233" w:lineRule="auto"/>
              <w:jc w:val="both"/>
            </w:pPr>
            <w:r>
              <w:t xml:space="preserve"> 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ab"/>
              <w:widowControl w:val="0"/>
              <w:spacing w:line="233" w:lineRule="auto"/>
              <w:jc w:val="both"/>
              <w:rPr>
                <w:rFonts w:eastAsia="Calibri"/>
                <w:b w:val="0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5-9</w:t>
            </w:r>
            <w:r w:rsidRPr="004B4457">
              <w:rPr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15" w:name="_Hlk85379063"/>
            <w:bookmarkEnd w:id="15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</w:t>
            </w:r>
          </w:p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Дискуссия по поставленной проблеме. </w:t>
            </w:r>
          </w:p>
        </w:tc>
      </w:tr>
      <w:tr w:rsidR="001A54B9">
        <w:trPr>
          <w:trHeight w:val="2513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Таксономия и типологизация цифровых активов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Цифровые и оцифрованные активы. Служебные, инвестиционные и платежные токены. Промежуточные и синтетические токены.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Новые </w:t>
            </w:r>
            <w:r w:rsidR="00577369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инструменты и новые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 виды посредников Актуальные вопросы токенизации активов, криптодеривативы.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Расширение классификации токенсейлов. Особенности, схемы размещения, риски.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Таксономия и типологизация цифровых активов: доктринальные подходы, позиции международных регуляторов.  </w:t>
            </w:r>
          </w:p>
          <w:p w:rsidR="001A54B9" w:rsidRDefault="001A54B9">
            <w:pPr>
              <w:pStyle w:val="a9"/>
              <w:rPr>
                <w:lang w:eastAsia="fr-FR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Нормативные акты: раздел 8 – </w:t>
            </w:r>
            <w:r w:rsidR="00E70414">
              <w:rPr>
                <w:b w:val="0"/>
                <w:i/>
                <w:sz w:val="24"/>
                <w:szCs w:val="24"/>
              </w:rPr>
              <w:t>1</w:t>
            </w:r>
            <w:r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7.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</w:t>
            </w:r>
            <w:r w:rsidRPr="004B4457"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2-4</w:t>
            </w:r>
            <w:r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</w:t>
            </w:r>
          </w:p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поставленной проблеме.</w:t>
            </w:r>
          </w:p>
        </w:tc>
      </w:tr>
      <w:tr w:rsidR="001A54B9">
        <w:trPr>
          <w:trHeight w:val="1983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Международное регуляторное поле оборота цифровых активов. Передовой зарубежный опыт функционирования рынка цифровых активов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мирового регулирования рынка цифровых активов.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ФАТФ как ведущий стандарт-сеттер на крипторынке: базовая таксономия, VASP,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Travel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Rule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. Виртуальные активы: определение ФАТФ, риски ОД/ФТ, отличия от электронных и депозитных денег. Проблематика имплементации Стандартов ФАТФ в части виртуальных активов и ПУВА.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Рост внимания ФАТФ к децентрализованным инструментам и платформам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DeFi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, DEX, DAO и др.).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NFT в свете рисков ОД/ФТ, иных финансовых и нефинансовых рисков.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bCs/>
                <w:sz w:val="24"/>
                <w:szCs w:val="24"/>
                <w:lang w:eastAsia="fr-FR"/>
              </w:rPr>
            </w:pPr>
            <w:r>
              <w:rPr>
                <w:b w:val="0"/>
                <w:bCs/>
                <w:sz w:val="24"/>
                <w:szCs w:val="24"/>
                <w:lang w:eastAsia="fr-FR"/>
              </w:rPr>
              <w:t xml:space="preserve">Развитие проблематики CBDC. Исследования БМР, ФАТФ, МВФ и др. 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bCs/>
                <w:sz w:val="24"/>
                <w:szCs w:val="24"/>
                <w:lang w:eastAsia="fr-FR"/>
              </w:rPr>
            </w:pPr>
            <w:r>
              <w:rPr>
                <w:b w:val="0"/>
                <w:bCs/>
                <w:sz w:val="24"/>
                <w:szCs w:val="24"/>
                <w:lang w:eastAsia="fr-FR"/>
              </w:rPr>
              <w:t>Проблематика стейблкоинов: понятие, типология, риски. Позиции СФС, ФАТФ, МОКЦБ и др</w:t>
            </w:r>
            <w:r w:rsidR="00577369">
              <w:rPr>
                <w:b w:val="0"/>
                <w:bCs/>
                <w:sz w:val="24"/>
                <w:szCs w:val="24"/>
                <w:lang w:eastAsia="fr-FR"/>
              </w:rPr>
              <w:t>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Кейсы принудительных мер со стороны регуляторов.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 по обороту криптоактивов в ЕС (MICAR)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крипто адаптации в различных регионах мира (карта). Анализ объема мирового крипто рынка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Coinmarketcap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 интересных крипто проектов.</w:t>
            </w:r>
          </w:p>
          <w:p w:rsidR="001A54B9" w:rsidRDefault="001A54B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</w:t>
            </w:r>
            <w:r w:rsidRPr="004B4457"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9 – 5</w:t>
            </w:r>
            <w:r>
              <w:rPr>
                <w:bCs/>
                <w:i/>
              </w:rPr>
              <w:t>-9</w:t>
            </w:r>
            <w:r w:rsidRPr="004B4457"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1A54B9" w:rsidRDefault="00E333E7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333E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ситуаций, кейсов, посвященных отдельным проблемным вопросам.</w:t>
            </w:r>
          </w:p>
        </w:tc>
      </w:tr>
      <w:tr w:rsidR="001A54B9">
        <w:trPr>
          <w:trHeight w:val="168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Тема 5. Правовые и институциональные основы финтех-</w:t>
            </w:r>
            <w:r w:rsidR="00577369">
              <w:rPr>
                <w:rFonts w:ascii="Times New Roman" w:eastAsia="SimSun" w:hAnsi="Times New Roman" w:cs="Times New Roman"/>
                <w:sz w:val="24"/>
                <w:szCs w:val="24"/>
              </w:rPr>
              <w:t>отрасли в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Направления развития цифровой экономики: возможности и риски для бизнеса.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Основные положения национального проекта «Цифровая экономика РФ».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Компетенция Банка России в области регулирования рынка цифровых активов, основные документы.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Состав «цифровых» законов: общая характеристика.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Цифровые платежные технологии (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PayTech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).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Открытый банкинг и финансовые маркетплейсы.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Основы финтех-кредитования и альтернативного финансирования.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Цифровые технологий в страховании (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InsurTech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).</w:t>
            </w:r>
          </w:p>
          <w:p w:rsidR="001A54B9" w:rsidRDefault="001A54B9">
            <w:pPr>
              <w:pStyle w:val="Default"/>
              <w:spacing w:line="233" w:lineRule="auto"/>
              <w:jc w:val="both"/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1-7.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lastRenderedPageBreak/>
              <w:t>Основная литература: раздел 8 – 1-3. Дополнительная литература: раздел 8 – 4</w:t>
            </w:r>
            <w:r w:rsidRPr="004B4457"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1-4</w:t>
            </w:r>
            <w:r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9"/>
              <w:spacing w:after="0" w:line="233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Решение ситуационных задач по тематике семинара.  Дискуссия по поставленной проблеме.</w:t>
            </w:r>
          </w:p>
        </w:tc>
      </w:tr>
      <w:tr w:rsidR="001A54B9">
        <w:trPr>
          <w:trHeight w:val="2547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Оборот цифровых активов на </w:t>
            </w:r>
            <w:r w:rsidR="00577369">
              <w:rPr>
                <w:rFonts w:ascii="Times New Roman" w:hAnsi="Times New Roman" w:cs="Times New Roman"/>
                <w:sz w:val="24"/>
                <w:szCs w:val="24"/>
              </w:rPr>
              <w:t>финансовом рынке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259-ФЗ и виды допустимых активов в рамках закона.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Разбираем ЦФА на денежные требования, товары, предметы искусства, эмиссия ЦФА, доходную оборотку, недвижимость и др.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Понятие, механизм, риски и правовой режим выпуска и оборота цифровых финансовых активов, утилитарных цифровых прав, цифровых валют.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Гибридизация цифровых прав: понятие, проекты.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Проблематика цифровых денег центральных банков, правовые основы их выпуска и обращения.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Современное состояние, проблематика, дискуссионное поле, правоприменительная практика.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54B9" w:rsidRDefault="001A54B9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 Дополнительная литература: раздел 8 – 4-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1-4</w:t>
            </w:r>
            <w:r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 Дискуссия по поставленной проблеме. </w:t>
            </w:r>
          </w:p>
        </w:tc>
      </w:tr>
      <w:tr w:rsidR="001A54B9">
        <w:trPr>
          <w:trHeight w:val="1169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Деятельность посредников на рынке цифровых активов России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 правовой статус операторов выпуска и обмена ЦФА, требования к ним. Особенности и правовой статус операторов инвестиционных и финансовых платформ, требования к ним.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 инвестиционных платформ, объем рынка, проблемы и тренды. </w:t>
            </w:r>
          </w:p>
          <w:p w:rsidR="001A54B9" w:rsidRDefault="00577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 xml:space="preserve"> платформы как инфраструктурный элемент финансового маркетплейса. </w:t>
            </w:r>
            <w:r w:rsidR="00E65C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C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API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>. Финансовые платформы и ЦФА.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Московской биржи и инфраструктур финансового рынка (НРД, НКЦ) в цифровизации финансового рынка.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Возможные схемы оборота цифровых активов</w:t>
            </w:r>
          </w:p>
          <w:p w:rsidR="001A54B9" w:rsidRDefault="001A54B9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1-7.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4-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1-4</w:t>
            </w:r>
            <w:r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 </w:t>
            </w:r>
            <w:r w:rsidR="00E333E7" w:rsidRPr="00E333E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Разбор практических ситуаций, кейсов, посвященных отдельным </w:t>
            </w:r>
            <w:r w:rsidR="00E333E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рынкам.</w:t>
            </w:r>
          </w:p>
        </w:tc>
      </w:tr>
      <w:tr w:rsidR="001A54B9">
        <w:trPr>
          <w:trHeight w:val="2034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8. Недобросовестное поведение и правонарушения на рынке цифровых активов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виды недобросовестных практик на крипторынке.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правонарушений на крипторынке. Криптопреступность.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принудительных мер со стороны регуляторов рынка.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аналитических центров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CCAF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Chamber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Commerce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поставщиков аналитики блокчейн-транзакций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Crystal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iphertrace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Elliptic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Chainanalysis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 в развитии инструментария финансовых расследований.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Санкции и цифровые активы: современные тренды и перспективы.</w:t>
            </w:r>
          </w:p>
          <w:p w:rsidR="001A54B9" w:rsidRDefault="001A54B9">
            <w:pPr>
              <w:pStyle w:val="Default"/>
              <w:spacing w:line="233" w:lineRule="auto"/>
              <w:jc w:val="both"/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1-7.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</w:t>
            </w:r>
            <w:r w:rsidRPr="004B4457"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a9"/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</w:rPr>
              <w:t>Ресурсы сети Интернет: раздел 9 – 1-9.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1A54B9" w:rsidRDefault="00E333E7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333E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ситуаций, кейсов, посвященных отдельным проблемным вопросам.</w:t>
            </w:r>
          </w:p>
        </w:tc>
      </w:tr>
    </w:tbl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6" w:name="_Ref83289580"/>
      <w:bookmarkStart w:id="17" w:name="_Toc127462831"/>
      <w:r>
        <w:rPr>
          <w:rFonts w:ascii="Times New Roman" w:hAnsi="Times New Roman" w:cs="Times New Roman"/>
          <w:b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16"/>
      <w:bookmarkEnd w:id="17"/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Toc127462832"/>
      <w:r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</w:t>
      </w:r>
      <w:bookmarkStart w:id="19" w:name="_GoBack"/>
      <w:bookmarkEnd w:id="19"/>
      <w:r>
        <w:rPr>
          <w:rFonts w:ascii="Times New Roman" w:hAnsi="Times New Roman" w:cs="Times New Roman"/>
          <w:b/>
          <w:color w:val="auto"/>
          <w:sz w:val="28"/>
        </w:rPr>
        <w:t xml:space="preserve"> освоение дисциплины, формы внеаудиторной самостоятельной работы</w:t>
      </w:r>
      <w:bookmarkEnd w:id="18"/>
    </w:p>
    <w:p w:rsidR="001A54B9" w:rsidRDefault="00E65CB3">
      <w:pPr>
        <w:pStyle w:val="a9"/>
        <w:keepNext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Таблица 5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3117"/>
        <w:gridCol w:w="3116"/>
        <w:gridCol w:w="3112"/>
      </w:tblGrid>
      <w:tr w:rsidR="001A54B9">
        <w:trPr>
          <w:trHeight w:val="840"/>
          <w:tblHeader/>
        </w:trPr>
        <w:tc>
          <w:tcPr>
            <w:tcW w:w="1667" w:type="pct"/>
            <w:shd w:val="clear" w:color="auto" w:fill="D9E2F3" w:themeFill="accent1" w:themeFillTint="33"/>
          </w:tcPr>
          <w:p w:rsidR="001A54B9" w:rsidRDefault="00E65CB3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7" w:type="pct"/>
            <w:shd w:val="clear" w:color="auto" w:fill="D9E2F3" w:themeFill="accent1" w:themeFillTint="33"/>
          </w:tcPr>
          <w:p w:rsidR="001A54B9" w:rsidRDefault="00E65CB3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65" w:type="pct"/>
            <w:shd w:val="clear" w:color="auto" w:fill="D9E2F3" w:themeFill="accent1" w:themeFillTint="33"/>
          </w:tcPr>
          <w:p w:rsidR="001A54B9" w:rsidRDefault="00E65CB3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A54B9">
        <w:trPr>
          <w:trHeight w:val="1995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Понятие и структура рынка цифровых активов.</w:t>
            </w:r>
          </w:p>
        </w:tc>
        <w:tc>
          <w:tcPr>
            <w:tcW w:w="1667" w:type="pct"/>
          </w:tcPr>
          <w:p w:rsidR="001A54B9" w:rsidRDefault="00E65CB3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Сравнительный анализ рынков </w:t>
            </w:r>
            <w:proofErr w:type="spellStart"/>
            <w:r>
              <w:rPr>
                <w:sz w:val="24"/>
                <w:szCs w:val="24"/>
                <w:lang w:val="en-US"/>
              </w:rPr>
              <w:t>TradFi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DeFi</w:t>
            </w:r>
            <w:proofErr w:type="spellEnd"/>
          </w:p>
          <w:p w:rsidR="001A54B9" w:rsidRDefault="00E65CB3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ОД/ФТ на крипторынке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2264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Технология блокчейн: особенности, технологические вызовы, применимость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</w:pPr>
            <w:r>
              <w:t>Сравнительный анализ крипторегулирования в:</w:t>
            </w:r>
          </w:p>
          <w:p w:rsidR="001A54B9" w:rsidRDefault="00E65CB3">
            <w:pPr>
              <w:pStyle w:val="Default"/>
              <w:jc w:val="both"/>
            </w:pPr>
            <w:r>
              <w:t>- США и ЕС</w:t>
            </w:r>
          </w:p>
          <w:p w:rsidR="001A54B9" w:rsidRDefault="00E65CB3">
            <w:pPr>
              <w:pStyle w:val="Default"/>
              <w:jc w:val="both"/>
            </w:pPr>
            <w:r>
              <w:t>- Германии и Швейцарии</w:t>
            </w:r>
          </w:p>
          <w:p w:rsidR="001A54B9" w:rsidRDefault="00E65CB3">
            <w:pPr>
              <w:pStyle w:val="Default"/>
              <w:jc w:val="both"/>
            </w:pPr>
            <w:r>
              <w:t>- Китае и России</w:t>
            </w:r>
          </w:p>
          <w:p w:rsidR="001A54B9" w:rsidRDefault="00E65CB3">
            <w:pPr>
              <w:pStyle w:val="Default"/>
              <w:jc w:val="both"/>
            </w:pPr>
            <w:r>
              <w:t>- Японии и Южной Корее</w:t>
            </w:r>
          </w:p>
          <w:p w:rsidR="001A54B9" w:rsidRDefault="00E65CB3">
            <w:pPr>
              <w:pStyle w:val="Default"/>
              <w:jc w:val="both"/>
            </w:pPr>
            <w:r>
              <w:t>- ОАЭ и Сингапуре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2270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lastRenderedPageBreak/>
              <w:t>Таксономия и типологизация цифровых активов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</w:pPr>
            <w:r>
              <w:t xml:space="preserve">Сравнение компетенции </w:t>
            </w:r>
            <w:r>
              <w:rPr>
                <w:lang w:val="en-US"/>
              </w:rPr>
              <w:t>IOSCO</w:t>
            </w:r>
            <w:r>
              <w:t xml:space="preserve"> и </w:t>
            </w:r>
            <w:r>
              <w:rPr>
                <w:lang w:val="en-US"/>
              </w:rPr>
              <w:t>ISDA</w:t>
            </w:r>
            <w:r>
              <w:t xml:space="preserve"> на рынке ценных бумаг и на крипторынке.</w:t>
            </w:r>
          </w:p>
          <w:p w:rsidR="001A54B9" w:rsidRDefault="00E65CB3">
            <w:pPr>
              <w:pStyle w:val="Default"/>
              <w:jc w:val="both"/>
            </w:pPr>
            <w:r>
              <w:t xml:space="preserve">Анализ </w:t>
            </w:r>
            <w:r>
              <w:rPr>
                <w:lang w:val="en-US"/>
              </w:rPr>
              <w:t>Travel</w:t>
            </w:r>
            <w:r>
              <w:t xml:space="preserve"> </w:t>
            </w:r>
            <w:r>
              <w:rPr>
                <w:lang w:val="en-US"/>
              </w:rPr>
              <w:t>Rule</w:t>
            </w:r>
            <w:r>
              <w:t>: эффективность имплементации в различных юрисдикциях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2246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Международное регуляторное поле оборота цифровых активов. Передовой зарубежный опыт функционирования рынка цифровых активов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</w:pPr>
            <w:r>
              <w:t>Понятие и виды промежуточных, гибридных, синтетических токенов: анали</w:t>
            </w:r>
            <w:r>
              <w:rPr>
                <w:lang w:val="en-US"/>
              </w:rPr>
              <w:t>p</w:t>
            </w:r>
            <w:r>
              <w:t xml:space="preserve"> доктринальных источников</w:t>
            </w:r>
          </w:p>
          <w:p w:rsidR="001A54B9" w:rsidRDefault="00E65CB3">
            <w:pPr>
              <w:pStyle w:val="Default"/>
              <w:jc w:val="both"/>
            </w:pPr>
            <w:r>
              <w:rPr>
                <w:sz w:val="23"/>
                <w:szCs w:val="23"/>
              </w:rPr>
              <w:t xml:space="preserve">Понятие и виды </w:t>
            </w:r>
            <w:proofErr w:type="spellStart"/>
            <w:r>
              <w:rPr>
                <w:sz w:val="23"/>
                <w:szCs w:val="23"/>
                <w:lang w:val="en-US"/>
              </w:rPr>
              <w:t>GameFi</w:t>
            </w:r>
            <w:proofErr w:type="spellEnd"/>
            <w:r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MetaFi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2254"/>
        </w:trPr>
        <w:tc>
          <w:tcPr>
            <w:tcW w:w="3191" w:type="dxa"/>
          </w:tcPr>
          <w:p w:rsidR="001A54B9" w:rsidRDefault="00E65CB3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Правовые и институциональные основы финтех-</w:t>
            </w:r>
            <w:r w:rsidR="00577369">
              <w:rPr>
                <w:rFonts w:ascii="Times New Roman" w:eastAsia="SimSun" w:hAnsi="Times New Roman" w:cs="Times New Roman"/>
                <w:sz w:val="24"/>
                <w:szCs w:val="24"/>
              </w:rPr>
              <w:t>отрасли в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</w:pPr>
            <w:r>
              <w:t>История развития финтех-отрасли в мире.</w:t>
            </w:r>
          </w:p>
          <w:p w:rsidR="001A54B9" w:rsidRDefault="00E65CB3">
            <w:pPr>
              <w:pStyle w:val="Default"/>
              <w:jc w:val="both"/>
            </w:pPr>
            <w:r>
              <w:t>Виды цифровых технологий в финансовой сфере.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1362"/>
        </w:trPr>
        <w:tc>
          <w:tcPr>
            <w:tcW w:w="3191" w:type="dxa"/>
          </w:tcPr>
          <w:p w:rsidR="001A54B9" w:rsidRDefault="00E65CB3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Оборот цифровых активов на </w:t>
            </w:r>
            <w:r w:rsidR="00577369">
              <w:rPr>
                <w:rFonts w:ascii="Times New Roman" w:hAnsi="Times New Roman" w:cs="Times New Roman"/>
                <w:sz w:val="24"/>
                <w:szCs w:val="24"/>
              </w:rPr>
              <w:t>финансовом рынке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Сравнение </w:t>
            </w:r>
            <w:r>
              <w:rPr>
                <w:sz w:val="23"/>
                <w:szCs w:val="23"/>
                <w:lang w:val="en-US"/>
              </w:rPr>
              <w:t>CBDC</w:t>
            </w:r>
            <w:r>
              <w:rPr>
                <w:sz w:val="23"/>
                <w:szCs w:val="23"/>
              </w:rPr>
              <w:t xml:space="preserve"> и фиатно-обеспеченных стейблкоинов: перспективы в России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Анализ законопроектов в области финтеха.</w:t>
            </w:r>
          </w:p>
          <w:p w:rsidR="001A54B9" w:rsidRDefault="001A54B9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1A54B9" w:rsidRDefault="001A54B9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1931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Деятельность посредников на рынке цифровых активов России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“</w:t>
            </w:r>
            <w:r>
              <w:rPr>
                <w:sz w:val="23"/>
                <w:szCs w:val="23"/>
                <w:lang w:val="en-US"/>
              </w:rPr>
              <w:t>Gatekeepers</w:t>
            </w:r>
            <w:r>
              <w:rPr>
                <w:sz w:val="23"/>
                <w:szCs w:val="23"/>
              </w:rPr>
              <w:t>” и “</w:t>
            </w:r>
            <w:r>
              <w:rPr>
                <w:sz w:val="23"/>
                <w:szCs w:val="23"/>
                <w:lang w:val="en-US"/>
              </w:rPr>
              <w:t>VASP</w:t>
            </w:r>
            <w:r>
              <w:rPr>
                <w:sz w:val="23"/>
                <w:szCs w:val="23"/>
              </w:rPr>
              <w:t>”: соотношение понятий.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“</w:t>
            </w:r>
            <w:r>
              <w:rPr>
                <w:sz w:val="23"/>
                <w:szCs w:val="23"/>
                <w:lang w:val="en-US"/>
              </w:rPr>
              <w:t>VASP</w:t>
            </w:r>
            <w:r>
              <w:rPr>
                <w:sz w:val="23"/>
                <w:szCs w:val="23"/>
              </w:rPr>
              <w:t>” (</w:t>
            </w:r>
            <w:r>
              <w:rPr>
                <w:sz w:val="23"/>
                <w:szCs w:val="23"/>
                <w:lang w:val="en-US"/>
              </w:rPr>
              <w:t>FATF</w:t>
            </w:r>
            <w:r>
              <w:rPr>
                <w:sz w:val="23"/>
                <w:szCs w:val="23"/>
              </w:rPr>
              <w:t>) и “</w:t>
            </w:r>
            <w:r>
              <w:rPr>
                <w:sz w:val="23"/>
                <w:szCs w:val="23"/>
                <w:lang w:val="en-US"/>
              </w:rPr>
              <w:t>CASP</w:t>
            </w:r>
            <w:r>
              <w:rPr>
                <w:sz w:val="23"/>
                <w:szCs w:val="23"/>
              </w:rPr>
              <w:t>” (</w:t>
            </w:r>
            <w:r>
              <w:rPr>
                <w:sz w:val="23"/>
                <w:szCs w:val="23"/>
                <w:lang w:val="en-US"/>
              </w:rPr>
              <w:t>MICAR</w:t>
            </w:r>
            <w:r>
              <w:rPr>
                <w:sz w:val="23"/>
                <w:szCs w:val="23"/>
              </w:rPr>
              <w:t>): соотношение.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ПУВА в России: особенности регулирования. </w:t>
            </w:r>
          </w:p>
          <w:p w:rsidR="001A54B9" w:rsidRDefault="001A54B9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1539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Недобросовестное поведение и правонарушения на рынке цифровых активов</w:t>
            </w:r>
          </w:p>
        </w:tc>
        <w:tc>
          <w:tcPr>
            <w:tcW w:w="1667" w:type="pct"/>
          </w:tcPr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видов и особенностей недобросовестных практик на рынке традиционных финансов и крипторынке.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Default"/>
              <w:jc w:val="both"/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</w:tbl>
    <w:p w:rsidR="001A54B9" w:rsidRDefault="00E65CB3">
      <w:pPr>
        <w:pStyle w:val="1"/>
        <w:widowControl/>
        <w:spacing w:before="120" w:after="120"/>
        <w:jc w:val="both"/>
        <w:rPr>
          <w:rFonts w:ascii="Times New Roman" w:hAnsi="Times New Roman" w:cs="Times New Roman"/>
          <w:bCs/>
          <w:color w:val="auto"/>
          <w:sz w:val="28"/>
        </w:rPr>
      </w:pPr>
      <w:bookmarkStart w:id="20" w:name="_Ref83289586"/>
      <w:bookmarkStart w:id="21" w:name="_Toc127462833"/>
      <w:r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*  </w:t>
      </w:r>
      <w:r>
        <w:rPr>
          <w:rFonts w:ascii="Times New Roman" w:hAnsi="Times New Roman" w:cs="Times New Roman"/>
          <w:bCs/>
          <w:i/>
          <w:iCs/>
          <w:color w:val="auto"/>
          <w:sz w:val="28"/>
        </w:rPr>
        <w:t>Примечание</w:t>
      </w:r>
      <w:r>
        <w:rPr>
          <w:rFonts w:ascii="Times New Roman" w:hAnsi="Times New Roman" w:cs="Times New Roman"/>
          <w:bCs/>
          <w:color w:val="auto"/>
          <w:sz w:val="28"/>
        </w:rPr>
        <w:t>:</w:t>
      </w:r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</w:rPr>
        <w:t>контрольные вопросы при необходимости даются (предоставляется доступ) преподавателем в целях самостоятельной подготовки к семинарам.</w:t>
      </w:r>
    </w:p>
    <w:p w:rsidR="001A54B9" w:rsidRDefault="00E65CB3">
      <w:pPr>
        <w:pStyle w:val="1"/>
        <w:widowControl/>
        <w:spacing w:before="0" w:line="360" w:lineRule="auto"/>
        <w:ind w:firstLineChars="200" w:firstLine="56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Примеры контрольных вопросов: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Актуальные вопросы налогообложения цифровых активов (опыт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IRS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HMRC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и других регуляторов)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Криптооазисы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» («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криптодолины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») и «регуляторные песочницы» как модели регулирования крипторынка (мировой опыт).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Особенности модели регулирования крипторынка в США. Соотношение полномочий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SEC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CFTC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FinCEN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IRS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FINRA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CFPB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на крипторынке США.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Кейс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SEC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vs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Telegram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как иллюстрация применения теста 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Хауи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. Экономические и правовые последствия.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Сравнение моделей регулирования криптоактивов в передовых криптоюрисдикциях Европы: Мальта, Лихтенштейн, Швейцария.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Анализ современного состояния и перспектив регулирования электронных ценных бумаг (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E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lektronische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Wertpapiere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) и электронных облигаций (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Еlektronische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Schuldverschreibungen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) в Германии. Дискуссионное поле.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Сравнение моделей правового регулирования криптоактивов в передовых юрисдикциях Азии: Япония, Южная Корея, Сингапур, Гонконг.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Сравнение моделей правового регулирования криптоактивов в Великобритании и Австралии.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Сравнение моделей правового регулирования криптоактивов в странах СНГ/ЕАЭС: Беларусь (ПВТ), Казахстан (МФЦА), Узбекистан.</w:t>
      </w:r>
    </w:p>
    <w:p w:rsidR="001A54B9" w:rsidRDefault="00E65C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1A54B9" w:rsidRDefault="00E65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A54B9" w:rsidRDefault="00E65CB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6.2. Перечень вопросов, заданий, тем для подготовки к текущему контролю</w:t>
      </w:r>
      <w:bookmarkEnd w:id="20"/>
      <w:bookmarkEnd w:id="21"/>
      <w:r>
        <w:rPr>
          <w:rFonts w:ascii="Times New Roman" w:hAnsi="Times New Roman" w:cs="Times New Roman"/>
          <w:b/>
          <w:sz w:val="28"/>
        </w:rPr>
        <w:t>.</w:t>
      </w:r>
    </w:p>
    <w:p w:rsidR="001A54B9" w:rsidRDefault="00E65CB3">
      <w:pPr>
        <w:pStyle w:val="ab"/>
        <w:spacing w:line="360" w:lineRule="auto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эссе:</w:t>
      </w:r>
    </w:p>
    <w:p w:rsidR="001A54B9" w:rsidRDefault="001A54B9">
      <w:pPr>
        <w:pStyle w:val="a9"/>
        <w:spacing w:after="0" w:line="360" w:lineRule="auto"/>
        <w:rPr>
          <w:rFonts w:eastAsiaTheme="minorEastAsia"/>
        </w:rPr>
      </w:pP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Проблематика трансформации банковского комплаенса в отношении </w:t>
      </w:r>
      <w:r>
        <w:rPr>
          <w:sz w:val="28"/>
          <w:szCs w:val="28"/>
        </w:rPr>
        <w:lastRenderedPageBreak/>
        <w:t>крипто-потоков: анализ национальных подходов.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RegTech</w:t>
      </w:r>
      <w:proofErr w:type="spellEnd"/>
      <w:r>
        <w:rPr>
          <w:sz w:val="28"/>
          <w:szCs w:val="28"/>
        </w:rPr>
        <w:t xml:space="preserve"> как инструмент повышения эффективности комплаенс-контроля: KYC/CDD, отчетность, проверка и защита данных.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международной торговли (оборотные инструменты, трансграничные платежи). Роль участников финансового рынка.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торгового финансирования: возможности и риски. Особенности внешнеторгового комплаенса в условиях цифровизации.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Проблематика типологизации и правового регулирования CBDC. Перспективы внедрения CBDC в России.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Проблематика баланса дозволений и рестрикций в области оборота «цифровых валют» (позиции регуляторов, экспертного сообщества).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Правовые режимы посредников на крипторынке (операторы обмена, операторы выпуска, инвестиционные платформы, финансовые платформы). Проблематика организации комплаенса.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Синтетические и гибридные криптоинструменты: виды, риски, особенности регулирования.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Развитие отечественного рынка гибридных цифровых прав: теория и практика.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Токенизация рынка интеллектуальной собственности </w:t>
      </w:r>
      <w:r w:rsidR="00577369">
        <w:rPr>
          <w:sz w:val="28"/>
          <w:szCs w:val="28"/>
        </w:rPr>
        <w:t>в России</w:t>
      </w:r>
      <w:r>
        <w:rPr>
          <w:sz w:val="28"/>
          <w:szCs w:val="28"/>
        </w:rPr>
        <w:t>: риски, проблемы и потенциал.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Налогообложение цифровых прав и цифровых </w:t>
      </w:r>
      <w:r w:rsidR="00577369">
        <w:rPr>
          <w:sz w:val="28"/>
          <w:szCs w:val="28"/>
        </w:rPr>
        <w:t>валют России</w:t>
      </w:r>
      <w:r>
        <w:rPr>
          <w:sz w:val="28"/>
          <w:szCs w:val="28"/>
        </w:rPr>
        <w:t xml:space="preserve"> (в свете передового зарубежного опыта).</w:t>
      </w:r>
    </w:p>
    <w:p w:rsidR="001A54B9" w:rsidRDefault="00E65CB3">
      <w:pPr>
        <w:pStyle w:val="aff0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1A54B9" w:rsidRPr="00577369" w:rsidRDefault="00577369" w:rsidP="00577369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369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1A54B9" w:rsidRDefault="00E65CB3">
      <w:pPr>
        <w:pStyle w:val="ab"/>
        <w:widowControl w:val="0"/>
        <w:suppressAutoHyphens w:val="0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77369">
        <w:rPr>
          <w:b w:val="0"/>
          <w:szCs w:val="28"/>
        </w:rPr>
        <w:t>Департамента финансовых рынков и финансового инжиниринга.</w:t>
      </w:r>
    </w:p>
    <w:p w:rsidR="001A54B9" w:rsidRDefault="00E65CB3">
      <w:pPr>
        <w:pStyle w:val="1"/>
        <w:keepNext w:val="0"/>
        <w:keepLines w:val="0"/>
        <w:suppressAutoHyphens w:val="0"/>
        <w:spacing w:before="360" w:after="12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2" w:name="_Ref83289589"/>
      <w:bookmarkStart w:id="23" w:name="_Toc127462834"/>
      <w:r>
        <w:rPr>
          <w:rFonts w:ascii="Times New Roman" w:hAnsi="Times New Roman" w:cs="Times New Roman"/>
          <w:b/>
          <w:color w:val="auto"/>
          <w:sz w:val="28"/>
        </w:rPr>
        <w:lastRenderedPageBreak/>
        <w:t>7.  Фонд оценочных средств для проведения промежуточной аттестации обучающихся по дисциплине</w:t>
      </w:r>
      <w:bookmarkEnd w:id="22"/>
      <w:bookmarkEnd w:id="23"/>
    </w:p>
    <w:p w:rsidR="001A54B9" w:rsidRDefault="00E65CB3">
      <w:pPr>
        <w:widowControl w:val="0"/>
        <w:suppressAutoHyphens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24" w:name="_Hlk107308697"/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4"/>
    </w:p>
    <w:p w:rsidR="001A54B9" w:rsidRDefault="001A54B9">
      <w:pPr>
        <w:pStyle w:val="a9"/>
        <w:widowControl w:val="0"/>
        <w:suppressAutoHyphens w:val="0"/>
        <w:spacing w:line="360" w:lineRule="exact"/>
        <w:ind w:firstLine="709"/>
        <w:jc w:val="both"/>
        <w:rPr>
          <w:b/>
          <w:bCs/>
          <w:color w:val="000000"/>
          <w:sz w:val="28"/>
          <w:szCs w:val="28"/>
          <w:u w:color="000000"/>
        </w:rPr>
      </w:pPr>
    </w:p>
    <w:p w:rsidR="001A54B9" w:rsidRDefault="00E65CB3">
      <w:pPr>
        <w:pStyle w:val="a9"/>
        <w:widowControl w:val="0"/>
        <w:suppressAutoHyphens w:val="0"/>
        <w:spacing w:after="60"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5" w:name="_Hlk107308407"/>
      <w:bookmarkEnd w:id="25"/>
      <w:r>
        <w:rPr>
          <w:color w:val="000000"/>
          <w:sz w:val="24"/>
          <w:szCs w:val="24"/>
          <w:u w:color="000000"/>
        </w:rPr>
        <w:t xml:space="preserve">     </w:t>
      </w:r>
    </w:p>
    <w:p w:rsidR="001A54B9" w:rsidRDefault="00E65CB3">
      <w:pPr>
        <w:pStyle w:val="a9"/>
        <w:widowControl w:val="0"/>
        <w:suppressAutoHyphens w:val="0"/>
        <w:spacing w:after="40"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u w:color="000000"/>
        </w:rPr>
        <w:t>Таблица 6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2410"/>
        <w:gridCol w:w="2693"/>
      </w:tblGrid>
      <w:tr w:rsidR="001A54B9" w:rsidTr="001021EB">
        <w:trPr>
          <w:tblHeader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</w:p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(умения и знания), соотнесенные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Типовые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контрольные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задания (примеры)</w:t>
            </w:r>
          </w:p>
        </w:tc>
      </w:tr>
      <w:tr w:rsidR="00577369" w:rsidTr="001021EB">
        <w:trPr>
          <w:trHeight w:val="45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pStyle w:val="Default"/>
              <w:widowControl w:val="0"/>
              <w:jc w:val="both"/>
              <w:rPr>
                <w:rStyle w:val="FontStyle12"/>
                <w:sz w:val="24"/>
              </w:rPr>
            </w:pPr>
            <w:r>
              <w:rPr>
                <w:rStyle w:val="FontStyle12"/>
                <w:sz w:val="24"/>
              </w:rPr>
              <w:t>ПКП-1</w:t>
            </w:r>
          </w:p>
          <w:p w:rsidR="00577369" w:rsidRDefault="00577369" w:rsidP="001021EB">
            <w:pPr>
              <w:pStyle w:val="Default"/>
              <w:widowControl w:val="0"/>
            </w:pPr>
            <w:r>
              <w:rPr>
                <w:rStyle w:val="FontStyle12"/>
                <w:sz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Владеет современным инструментарием анализа финансового рынка.</w:t>
            </w: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E70414" w:rsidRDefault="00E70414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1021EB">
            <w:pPr>
              <w:widowControl w:val="0"/>
              <w:shd w:val="clear" w:color="auto" w:fill="FFFFFF"/>
              <w:spacing w:after="0" w:line="240" w:lineRule="auto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2.Применяет профессиональные знания для прогнозирования новых явлений на финансовых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lastRenderedPageBreak/>
              <w:t>рынках.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современный инструментарий рынка цифровых активов</w:t>
            </w: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современный инструментарий рынка цифровых активов</w:t>
            </w: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414" w:rsidRDefault="00E70414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основы прогнозирования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новых явлений на рынке цифровых активов</w:t>
            </w: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прогнозировать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новые явления на рынке цифровых активов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Проанализируйте причины и эффекты коллапсов на крипторынке: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TerraUSD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Celsius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FTX,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Silvergate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Signature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Bank. Каковы позиции международных и национальных регуляторов относительно необходимых к принятию мер по предотвращению системного кризиса (в том числе заражения фиатной финансовой системы)?</w:t>
            </w:r>
          </w:p>
          <w:p w:rsidR="00577369" w:rsidRDefault="00577369" w:rsidP="001021EB">
            <w:pPr>
              <w:spacing w:after="0" w:line="240" w:lineRule="auto"/>
              <w:ind w:firstLineChars="200" w:firstLine="48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Проведите анализ литературы по проблематике обхода антироссийских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санкций через инструменты крипторынка. Каковы особенности и инструментарий санкционного комплаенса на крипторынке?</w:t>
            </w:r>
          </w:p>
        </w:tc>
      </w:tr>
      <w:tr w:rsidR="00577369" w:rsidTr="001021E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  <w:p w:rsidR="00577369" w:rsidRPr="00577369" w:rsidRDefault="00577369" w:rsidP="0057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369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1. 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  <w:p w:rsidR="00577369" w:rsidRPr="00577369" w:rsidRDefault="00577369" w:rsidP="00577369"/>
          <w:p w:rsidR="00577369" w:rsidRPr="00577369" w:rsidRDefault="00577369" w:rsidP="00577369"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новые финансовые технологии, применяемые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новые финансовые технологии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проблемы использования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Pr="00577369" w:rsidRDefault="00577369" w:rsidP="0057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азрабатывать рекомендации по их преодолению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Проведите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The 2023 Crypto Crime Report (https://disk.yandex.ru/i/3UcRFjeTbrYatg).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Сделайте основные выводы по данному документу. 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Дайте обзор основных рисков в криптосфере по последним документам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Elliptic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Coinfirm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Chainanalysis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SipherTrace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Crystal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Какие документы посвящены аспектам комплаенса на крипторынке?</w:t>
            </w:r>
          </w:p>
          <w:p w:rsidR="00577369" w:rsidRDefault="00577369" w:rsidP="005773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7369" w:rsidTr="001021E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Pr="00577369" w:rsidRDefault="00577369" w:rsidP="0057736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77369">
              <w:rPr>
                <w:color w:val="000000"/>
                <w:sz w:val="24"/>
                <w:szCs w:val="24"/>
                <w:lang w:val="ru-RU"/>
              </w:rPr>
              <w:t>ПКП-3</w:t>
            </w:r>
          </w:p>
          <w:p w:rsidR="00577369" w:rsidRPr="00577369" w:rsidRDefault="00577369" w:rsidP="0057736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36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выявлять, регистрировать и идентифицировать риски применения финансовых технологий, использовать </w:t>
            </w:r>
            <w:r w:rsidRPr="00577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lastRenderedPageBreak/>
              <w:t xml:space="preserve">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</w:t>
            </w:r>
            <w:r>
              <w:rPr>
                <w:rStyle w:val="FontStyle12"/>
                <w:sz w:val="24"/>
                <w:szCs w:val="24"/>
              </w:rPr>
              <w:lastRenderedPageBreak/>
              <w:t>нейтрализации.</w:t>
            </w:r>
          </w:p>
          <w:p w:rsidR="00577369" w:rsidRDefault="00577369" w:rsidP="00577369">
            <w:pPr>
              <w:widowControl w:val="0"/>
              <w:spacing w:after="0" w:line="240" w:lineRule="auto"/>
              <w:jc w:val="both"/>
              <w:rPr>
                <w:rStyle w:val="FontStyle12"/>
                <w:sz w:val="24"/>
                <w:szCs w:val="24"/>
                <w:lang w:eastAsia="ru-RU"/>
              </w:rPr>
            </w:pPr>
          </w:p>
          <w:p w:rsidR="00E70414" w:rsidRDefault="00E70414" w:rsidP="00577369">
            <w:pPr>
              <w:widowControl w:val="0"/>
              <w:spacing w:after="0" w:line="240" w:lineRule="auto"/>
              <w:jc w:val="both"/>
              <w:rPr>
                <w:rStyle w:val="FontStyle12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pacing w:after="0" w:line="240" w:lineRule="auto"/>
              <w:rPr>
                <w:rStyle w:val="FontStyle1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>
              <w:rPr>
                <w:rStyle w:val="FontStyle12"/>
                <w:sz w:val="24"/>
                <w:szCs w:val="24"/>
              </w:rPr>
              <w:t>риски применения финансовых технологий</w:t>
            </w:r>
          </w:p>
          <w:p w:rsidR="00577369" w:rsidRDefault="00577369" w:rsidP="0057736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sz w:val="24"/>
                <w:szCs w:val="24"/>
              </w:rPr>
              <w:t xml:space="preserve">выявлять, регистрировать и идентифицировать риски применения финансовых технологий, а также выполнять их мониторинг в целях </w:t>
            </w:r>
            <w:r>
              <w:rPr>
                <w:rStyle w:val="FontStyle12"/>
                <w:sz w:val="24"/>
                <w:szCs w:val="24"/>
              </w:rPr>
              <w:lastRenderedPageBreak/>
              <w:t>нейтрализации</w:t>
            </w:r>
          </w:p>
          <w:p w:rsidR="00577369" w:rsidRDefault="00577369" w:rsidP="00577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57736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риски применения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Default="00577369" w:rsidP="0057736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азрабатывать комплекс мероприятий по минимизации рисков применения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Pr="00577369" w:rsidRDefault="00577369" w:rsidP="00577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текстов БМР определите место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CBDC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разновидностей денег. Опишите различия между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token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CBDC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Дайте различия между государственными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CBDC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частными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…) стейблкоинами.</w:t>
            </w:r>
          </w:p>
          <w:p w:rsidR="00577369" w:rsidRDefault="00577369" w:rsidP="005773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0414" w:rsidRDefault="00E70414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77369" w:rsidRDefault="00577369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Каковы особенности крипто-комплаенса на финансовом рынке США? Определяется ли он моделью пруденциального надзора в США. Как распределяется компетенция SEC, CFTC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FinCEN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крипторынке США (на основе анализа Совместного заявления трех регуляторов, их руководящих документов?)</w:t>
            </w:r>
          </w:p>
          <w:p w:rsidR="00577369" w:rsidRDefault="00577369" w:rsidP="005773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21EB" w:rsidTr="001021E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EB" w:rsidRPr="00577369" w:rsidRDefault="001021EB" w:rsidP="001021E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ПКН-6</w:t>
            </w:r>
          </w:p>
          <w:p w:rsidR="001021EB" w:rsidRPr="00577369" w:rsidRDefault="001021EB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369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EB" w:rsidRDefault="001021EB" w:rsidP="001021EB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:rsidR="001021EB" w:rsidRDefault="001021EB" w:rsidP="001021EB">
            <w:pPr>
              <w:widowControl w:val="0"/>
              <w:spacing w:after="0" w:line="240" w:lineRule="auto"/>
              <w:rPr>
                <w:rStyle w:val="FontStyle12"/>
                <w:sz w:val="24"/>
                <w:szCs w:val="24"/>
                <w:lang w:eastAsia="ru-RU"/>
              </w:rPr>
            </w:pPr>
          </w:p>
          <w:p w:rsidR="001021EB" w:rsidRDefault="001021EB" w:rsidP="001021EB">
            <w:pPr>
              <w:pStyle w:val="Default"/>
              <w:widowControl w:val="0"/>
            </w:pPr>
          </w:p>
          <w:p w:rsidR="001021EB" w:rsidRDefault="001021EB" w:rsidP="001021EB">
            <w:pPr>
              <w:pStyle w:val="Default"/>
              <w:widowControl w:val="0"/>
            </w:pPr>
          </w:p>
          <w:p w:rsidR="001021EB" w:rsidRDefault="001021EB" w:rsidP="001021EB">
            <w:pPr>
              <w:pStyle w:val="Default"/>
              <w:widowControl w:val="0"/>
            </w:pPr>
          </w:p>
          <w:p w:rsidR="001021EB" w:rsidRDefault="001021EB" w:rsidP="001021EB">
            <w:pPr>
              <w:pStyle w:val="Default"/>
              <w:widowControl w:val="0"/>
            </w:pPr>
          </w:p>
          <w:p w:rsidR="001021EB" w:rsidRDefault="001021EB" w:rsidP="001021EB">
            <w:pPr>
              <w:pStyle w:val="Default"/>
              <w:widowControl w:val="0"/>
            </w:pPr>
            <w:r>
              <w:t xml:space="preserve">2. Предлагает варианты решения профессиональных задач в условиях </w:t>
            </w:r>
            <w:r>
              <w:lastRenderedPageBreak/>
              <w:t>неопределенности.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EB" w:rsidRDefault="001021EB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логические основы </w:t>
            </w:r>
            <w:r>
              <w:rPr>
                <w:rStyle w:val="FontStyle12"/>
                <w:sz w:val="24"/>
                <w:szCs w:val="24"/>
              </w:rPr>
              <w:t>анализа деятельности экономического субъекта на рынке цифровых активов</w:t>
            </w:r>
          </w:p>
          <w:p w:rsidR="001021EB" w:rsidRDefault="001021EB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</w:t>
            </w:r>
            <w:r>
              <w:rPr>
                <w:rStyle w:val="FontStyle12"/>
                <w:sz w:val="24"/>
                <w:szCs w:val="24"/>
              </w:rPr>
              <w:t>приемы обоснования оперативных, тактических и стратегических управленческих решений экономического субъекта на рынке цифровых активов</w:t>
            </w:r>
          </w:p>
          <w:p w:rsidR="001021EB" w:rsidRDefault="001021EB" w:rsidP="001021E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021EB" w:rsidRDefault="001021EB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теоретические основы решения профессиональных задач на рынке цифровых активов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условиях неопределенности</w:t>
            </w:r>
          </w:p>
          <w:p w:rsidR="001021EB" w:rsidRPr="001021EB" w:rsidRDefault="001021EB" w:rsidP="001021E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решать профессиональные задачи на рынке цифровых активов в условиях неопределенности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14" w:rsidRDefault="00E70414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Задание:</w:t>
            </w:r>
          </w:p>
          <w:p w:rsidR="001021EB" w:rsidRDefault="001021EB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Проанализируйте дискуссию вокруг MICAR. Какие проблемы перед комплаенс-системами финансового рынка ЕС может поставить данный Регламент?</w:t>
            </w:r>
          </w:p>
          <w:p w:rsidR="001021EB" w:rsidRDefault="001021EB" w:rsidP="001021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EB" w:rsidRDefault="001021EB" w:rsidP="001021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21EB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1021EB" w:rsidRDefault="001021EB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Проанализируйте судебную практику в России в отношении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цифровых прав и цифровых валют. Какие проблемы она высвечивает относительно эффективности применения законодательства, его пробелов, совместимости с международной регуляторикой и зарубежными моделями? Какие вызовы, риски и возможности открывает перед банками создание рынка цифровых активов?</w:t>
            </w:r>
          </w:p>
          <w:p w:rsidR="001021EB" w:rsidRDefault="001021EB" w:rsidP="001021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A54B9" w:rsidRDefault="001A54B9">
      <w:pPr>
        <w:pStyle w:val="a9"/>
        <w:widowControl w:val="0"/>
        <w:suppressAutoHyphens w:val="0"/>
        <w:spacing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</w:p>
    <w:p w:rsidR="001A54B9" w:rsidRPr="001021EB" w:rsidRDefault="00E65CB3">
      <w:pPr>
        <w:spacing w:before="240" w:line="240" w:lineRule="auto"/>
        <w:ind w:firstLine="709"/>
        <w:jc w:val="both"/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</w:pPr>
      <w:r>
        <w:rPr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>Примерный перечень теоретических</w:t>
      </w:r>
      <w:r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 xml:space="preserve"> </w:t>
      </w:r>
      <w:r w:rsidRPr="001021EB"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  <w:t>вопросов</w:t>
      </w:r>
      <w:r w:rsidR="00E70414"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  <w:t xml:space="preserve"> к зачету</w:t>
      </w:r>
      <w:r w:rsidRPr="001021EB"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  <w:t>: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Цифровые права, цифровые финансовые активы, утилитарные цифровые права, цифровые валюты: анализ понятийного ряда отечественного цифрового законодательства.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Анализ видов профессиональной деятельности на крипторынке: майнинг, обмен, трейдинг, хранение и т.п.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Основы цифровых платежных технологий (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PayTech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).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Проблематика типологизации глобальных стейблкоинов и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CBDC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>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Перспективы внедрения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CBDC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в России.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Экономические и правовые основы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Open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Banking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(включая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Open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API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) и финансовых 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маркетплейсов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. Мировой опыт и опыт России.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Модели альтернативного финансирования на крипторынке (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ICO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IDO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IGO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STO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IEO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IICO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ISA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и др.). 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lastRenderedPageBreak/>
        <w:t>Смарт-контракты в финансовой сфере (банки, страхование). Опыт ведущих юрисдикций, перспективы в РФ.</w:t>
      </w:r>
    </w:p>
    <w:p w:rsidR="001A54B9" w:rsidRDefault="00E65CB3">
      <w:pPr>
        <w:pStyle w:val="aff0"/>
        <w:autoSpaceDE w:val="0"/>
        <w:autoSpaceDN w:val="0"/>
        <w:adjustRightInd w:val="0"/>
        <w:ind w:left="709"/>
        <w:jc w:val="both"/>
        <w:rPr>
          <w:rFonts w:eastAsiaTheme="minorEastAsia"/>
          <w:bCs/>
          <w:iCs/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>…</w:t>
      </w:r>
    </w:p>
    <w:p w:rsidR="001A54B9" w:rsidRDefault="001A54B9">
      <w:pPr>
        <w:spacing w:line="120" w:lineRule="auto"/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lang w:eastAsia="ru-RU"/>
        </w:rPr>
        <w:t>Примеры практико-ориентированных (ситуационных) заданий:</w:t>
      </w:r>
    </w:p>
    <w:p w:rsidR="001A54B9" w:rsidRDefault="001A54B9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1.Проанализируйте причины и эффекты коллапсов на крипторынке: </w:t>
      </w:r>
      <w:proofErr w:type="spellStart"/>
      <w:r>
        <w:rPr>
          <w:rFonts w:ascii="Times New Roman" w:hAnsi="Times New Roman"/>
          <w:bCs/>
          <w:sz w:val="28"/>
          <w:szCs w:val="28"/>
        </w:rPr>
        <w:t>TerraUSD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Celsius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FTX, </w:t>
      </w:r>
      <w:proofErr w:type="spellStart"/>
      <w:r>
        <w:rPr>
          <w:rFonts w:ascii="Times New Roman" w:hAnsi="Times New Roman"/>
          <w:bCs/>
          <w:sz w:val="28"/>
          <w:szCs w:val="28"/>
        </w:rPr>
        <w:t>Silvergate</w:t>
      </w:r>
      <w:proofErr w:type="spellEnd"/>
      <w:r>
        <w:rPr>
          <w:rFonts w:ascii="Times New Roman" w:hAnsi="Times New Roman"/>
          <w:bCs/>
          <w:sz w:val="28"/>
          <w:szCs w:val="28"/>
        </w:rPr>
        <w:t>/</w:t>
      </w:r>
      <w:proofErr w:type="spellStart"/>
      <w:r>
        <w:rPr>
          <w:rFonts w:ascii="Times New Roman" w:hAnsi="Times New Roman"/>
          <w:bCs/>
          <w:sz w:val="28"/>
          <w:szCs w:val="28"/>
        </w:rPr>
        <w:t>Signature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Bank. Каковы позиции международных и национальных регуляторов относительно необходимых к принятию мер по предотвращению системного кризиса (в том числе заражения фиатной финансовой системы)?</w:t>
      </w: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7E7681">
        <w:rPr>
          <w:rFonts w:ascii="Times New Roman" w:hAnsi="Times New Roman"/>
          <w:bCs/>
          <w:sz w:val="28"/>
          <w:szCs w:val="28"/>
        </w:rPr>
        <w:t>Проведите</w:t>
      </w:r>
      <w:r>
        <w:rPr>
          <w:rFonts w:ascii="Times New Roman" w:hAnsi="Times New Roman"/>
          <w:bCs/>
          <w:sz w:val="28"/>
          <w:szCs w:val="28"/>
        </w:rPr>
        <w:t xml:space="preserve"> анализ литературы по проблематике обхода антироссийских санкций через инструменты крипторынка. Каковы особенности и инструментарий санкционного комплаенса на крипторынке?</w:t>
      </w: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/>
          <w:bCs/>
          <w:sz w:val="28"/>
          <w:szCs w:val="28"/>
        </w:rPr>
      </w:pPr>
      <w:r w:rsidRPr="004B4457">
        <w:rPr>
          <w:rFonts w:ascii="Times New Roman" w:hAnsi="Times New Roman"/>
          <w:bCs/>
          <w:sz w:val="28"/>
          <w:szCs w:val="28"/>
        </w:rPr>
        <w:t>3.</w:t>
      </w:r>
      <w:r w:rsidR="007E7681">
        <w:rPr>
          <w:rFonts w:ascii="Times New Roman" w:hAnsi="Times New Roman"/>
          <w:bCs/>
          <w:sz w:val="28"/>
          <w:szCs w:val="28"/>
        </w:rPr>
        <w:t>Проведите</w:t>
      </w:r>
      <w:r w:rsidRPr="004B445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анализ</w:t>
      </w:r>
      <w:r w:rsidRPr="004B4457">
        <w:rPr>
          <w:rFonts w:ascii="Times New Roman" w:hAnsi="Times New Roman"/>
          <w:bCs/>
          <w:sz w:val="28"/>
          <w:szCs w:val="28"/>
        </w:rPr>
        <w:t xml:space="preserve"> 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The</w:t>
      </w:r>
      <w:r w:rsidRPr="004B4457">
        <w:rPr>
          <w:rFonts w:ascii="Times New Roman" w:hAnsi="Times New Roman"/>
          <w:bCs/>
          <w:sz w:val="28"/>
          <w:szCs w:val="28"/>
        </w:rPr>
        <w:t xml:space="preserve"> 2023 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Crypto</w:t>
      </w:r>
      <w:r w:rsidRPr="004B4457">
        <w:rPr>
          <w:rFonts w:ascii="Times New Roman" w:hAnsi="Times New Roman"/>
          <w:bCs/>
          <w:sz w:val="28"/>
          <w:szCs w:val="28"/>
        </w:rPr>
        <w:t xml:space="preserve"> 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Crime</w:t>
      </w:r>
      <w:r w:rsidRPr="004B4457">
        <w:rPr>
          <w:rFonts w:ascii="Times New Roman" w:hAnsi="Times New Roman"/>
          <w:bCs/>
          <w:sz w:val="28"/>
          <w:szCs w:val="28"/>
        </w:rPr>
        <w:t xml:space="preserve"> 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Report</w:t>
      </w:r>
      <w:r w:rsidRPr="004B4457">
        <w:rPr>
          <w:rFonts w:ascii="Times New Roman" w:hAnsi="Times New Roman"/>
          <w:bCs/>
          <w:sz w:val="28"/>
          <w:szCs w:val="28"/>
        </w:rPr>
        <w:t xml:space="preserve"> (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https</w:t>
      </w:r>
      <w:r w:rsidRPr="004B4457">
        <w:rPr>
          <w:rFonts w:ascii="Times New Roman" w:hAnsi="Times New Roman"/>
          <w:bCs/>
          <w:sz w:val="28"/>
          <w:szCs w:val="28"/>
        </w:rPr>
        <w:t>://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disk</w:t>
      </w:r>
      <w:r w:rsidRPr="004B4457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7E7681">
        <w:rPr>
          <w:rFonts w:ascii="Times New Roman" w:hAnsi="Times New Roman"/>
          <w:bCs/>
          <w:sz w:val="28"/>
          <w:szCs w:val="28"/>
          <w:lang w:val="en-US"/>
        </w:rPr>
        <w:t>yandex</w:t>
      </w:r>
      <w:proofErr w:type="spellEnd"/>
      <w:r w:rsidRPr="004B4457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7E768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4B4457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7E7681">
        <w:rPr>
          <w:rFonts w:ascii="Times New Roman" w:hAnsi="Times New Roman"/>
          <w:bCs/>
          <w:sz w:val="28"/>
          <w:szCs w:val="28"/>
          <w:lang w:val="en-US"/>
        </w:rPr>
        <w:t>i</w:t>
      </w:r>
      <w:proofErr w:type="spellEnd"/>
      <w:r w:rsidRPr="004B4457">
        <w:rPr>
          <w:rFonts w:ascii="Times New Roman" w:hAnsi="Times New Roman"/>
          <w:bCs/>
          <w:sz w:val="28"/>
          <w:szCs w:val="28"/>
        </w:rPr>
        <w:t>/3</w:t>
      </w:r>
      <w:proofErr w:type="spellStart"/>
      <w:r w:rsidRPr="007E7681">
        <w:rPr>
          <w:rFonts w:ascii="Times New Roman" w:hAnsi="Times New Roman"/>
          <w:bCs/>
          <w:sz w:val="28"/>
          <w:szCs w:val="28"/>
          <w:lang w:val="en-US"/>
        </w:rPr>
        <w:t>UcRFjeTbrYatg</w:t>
      </w:r>
      <w:proofErr w:type="spellEnd"/>
      <w:r w:rsidRPr="004B4457">
        <w:rPr>
          <w:rFonts w:ascii="Times New Roman" w:hAnsi="Times New Roman"/>
          <w:bCs/>
          <w:sz w:val="28"/>
          <w:szCs w:val="28"/>
        </w:rPr>
        <w:t xml:space="preserve">). </w:t>
      </w:r>
      <w:r>
        <w:rPr>
          <w:rFonts w:ascii="Times New Roman" w:hAnsi="Times New Roman"/>
          <w:bCs/>
          <w:sz w:val="28"/>
          <w:szCs w:val="28"/>
        </w:rPr>
        <w:t xml:space="preserve">Сделайте основные выводы по данному документу. </w:t>
      </w: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4.Дайте обзор основных рисков в криптосфере по последним документам </w:t>
      </w:r>
      <w:proofErr w:type="spellStart"/>
      <w:r>
        <w:rPr>
          <w:rFonts w:ascii="Times New Roman" w:hAnsi="Times New Roman"/>
          <w:bCs/>
          <w:sz w:val="28"/>
          <w:szCs w:val="28"/>
        </w:rPr>
        <w:t>Elliptic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Coinfirm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Chainanalysis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SipherTrace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Crystal</w:t>
      </w:r>
      <w:proofErr w:type="spellEnd"/>
      <w:r>
        <w:rPr>
          <w:rFonts w:ascii="Times New Roman" w:hAnsi="Times New Roman"/>
          <w:bCs/>
          <w:sz w:val="28"/>
          <w:szCs w:val="28"/>
        </w:rPr>
        <w:t>. Какие документы посвящены аспектам комплаенса на крипторынке?</w:t>
      </w: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На основе текстов БМР определите место </w:t>
      </w:r>
      <w:r>
        <w:rPr>
          <w:rFonts w:ascii="Times New Roman" w:hAnsi="Times New Roman" w:cs="Times New Roman"/>
          <w:sz w:val="28"/>
          <w:szCs w:val="28"/>
          <w:lang w:val="en-US"/>
        </w:rPr>
        <w:t>CBDC</w:t>
      </w:r>
      <w:r>
        <w:rPr>
          <w:rFonts w:ascii="Times New Roman" w:hAnsi="Times New Roman" w:cs="Times New Roman"/>
          <w:sz w:val="28"/>
          <w:szCs w:val="28"/>
        </w:rPr>
        <w:t xml:space="preserve"> в системе разновидностей денег. Опишите различия между </w:t>
      </w:r>
      <w:r>
        <w:rPr>
          <w:rFonts w:ascii="Times New Roman" w:hAnsi="Times New Roman" w:cs="Times New Roman"/>
          <w:sz w:val="28"/>
          <w:szCs w:val="28"/>
          <w:lang w:val="en-US"/>
        </w:rPr>
        <w:t>token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based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account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based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CBDC</w:t>
      </w:r>
      <w:r>
        <w:rPr>
          <w:rFonts w:ascii="Times New Roman" w:hAnsi="Times New Roman" w:cs="Times New Roman"/>
          <w:sz w:val="28"/>
          <w:szCs w:val="28"/>
        </w:rPr>
        <w:t>. Дайте различия между государственными (</w:t>
      </w:r>
      <w:r>
        <w:rPr>
          <w:rFonts w:ascii="Times New Roman" w:hAnsi="Times New Roman" w:cs="Times New Roman"/>
          <w:sz w:val="28"/>
          <w:szCs w:val="28"/>
          <w:lang w:val="en-US"/>
        </w:rPr>
        <w:t>CBDC</w:t>
      </w:r>
      <w:r>
        <w:rPr>
          <w:rFonts w:ascii="Times New Roman" w:hAnsi="Times New Roman" w:cs="Times New Roman"/>
          <w:sz w:val="28"/>
          <w:szCs w:val="28"/>
        </w:rPr>
        <w:t>) и частными (</w:t>
      </w:r>
      <w:r>
        <w:rPr>
          <w:rFonts w:ascii="Times New Roman" w:hAnsi="Times New Roman" w:cs="Times New Roman"/>
          <w:sz w:val="28"/>
          <w:szCs w:val="28"/>
          <w:lang w:val="en-US"/>
        </w:rPr>
        <w:t>Libra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Gram</w:t>
      </w:r>
      <w:r>
        <w:rPr>
          <w:rFonts w:ascii="Times New Roman" w:hAnsi="Times New Roman" w:cs="Times New Roman"/>
          <w:sz w:val="28"/>
          <w:szCs w:val="28"/>
        </w:rPr>
        <w:t>…) стейблкоинами.</w:t>
      </w:r>
    </w:p>
    <w:p w:rsidR="001A54B9" w:rsidRDefault="00E65CB3">
      <w:pPr>
        <w:spacing w:line="360" w:lineRule="auto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Каковы особенности крипто-комплаенса на финансовом рынке США? Определяется ли он моделью пруденциального надзора в США. Как распределяется компетенция SEC, CFTC и </w:t>
      </w:r>
      <w:proofErr w:type="spellStart"/>
      <w:r>
        <w:rPr>
          <w:rFonts w:ascii="Times New Roman" w:hAnsi="Times New Roman"/>
          <w:sz w:val="28"/>
          <w:szCs w:val="28"/>
        </w:rPr>
        <w:t>FinCEN</w:t>
      </w:r>
      <w:proofErr w:type="spellEnd"/>
      <w:r>
        <w:rPr>
          <w:rFonts w:ascii="Times New Roman" w:hAnsi="Times New Roman"/>
          <w:sz w:val="28"/>
          <w:szCs w:val="28"/>
        </w:rPr>
        <w:t xml:space="preserve"> на крипторынке США (на основе анализа Совместного заявления трех регуляторов, их руководящих документов?)</w:t>
      </w:r>
    </w:p>
    <w:p w:rsidR="001A54B9" w:rsidRDefault="00E65CB3">
      <w:pPr>
        <w:spacing w:line="360" w:lineRule="auto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 Проанализируйте дискуссию вокруг MICAR. Какие проблемы перед комплаенс-системами финансового рынка ЕС может поставить данный Регламент?</w:t>
      </w:r>
    </w:p>
    <w:p w:rsidR="001A54B9" w:rsidRDefault="00E65CB3">
      <w:pPr>
        <w:spacing w:line="360" w:lineRule="auto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Проанализируйте судебную практику в России в отношении цифровых прав и цифровых валют. Какие проблемы она высвечивает относительно эффективности применения законодательства, его пробелов, совместимости с международной регуляторикой и зарубежными моделями? Какие вызовы, риски и возможности открывает перед банками создание рынка цифровых активов?</w:t>
      </w:r>
    </w:p>
    <w:p w:rsidR="001021EB" w:rsidRDefault="001021EB" w:rsidP="001021EB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6" w:name="_Ref83390120"/>
      <w:bookmarkStart w:id="27" w:name="_Toc127462836"/>
      <w:bookmarkStart w:id="28" w:name="_Toc127462835"/>
      <w:bookmarkStart w:id="29" w:name="_Ref83289601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28"/>
      <w:bookmarkEnd w:id="29"/>
    </w:p>
    <w:p w:rsidR="001021EB" w:rsidRDefault="001021EB" w:rsidP="001021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18.03.2019 № 34-ФЗ «О внесении изменений в части первую, вторую и статью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1124 части третьей Гражданского кодекса Российской Федерации» 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02.08.2019 №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 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31.07.2020 № 259-ФЗ "О цифровых финансовых активах, цифровой валюте и о внесении изменений в отдельные законодательные акты Российской Федерации" </w:t>
      </w:r>
    </w:p>
    <w:p w:rsid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14.07.2022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N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324-ФЗ "О внесении изменений в часть вторую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Налогового кодекса Российской Федерации"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14.07.2022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N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331-ФЗ "О внесении изменений в отдельные законодательные акты Российской Федерации и о приостановлении действия отдельных положений статьи 5.1 Федерального закона "О банках и банковской деятельности" 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31 июля 2020 г. №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>258-ФЗ "Об экспериментальных правовых режимах в сфере цифровых инноваций в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Федерации” 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Федеральный закон от 20 июля 2020 г. №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>211-ФЗ "О совершении финансовых сделок с использованием финансовой платформы”</w:t>
      </w:r>
    </w:p>
    <w:p w:rsidR="001021EB" w:rsidRDefault="001021EB" w:rsidP="001021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1EB" w:rsidRDefault="001021EB" w:rsidP="001021EB">
      <w:pPr>
        <w:pStyle w:val="af0"/>
        <w:widowControl/>
        <w:spacing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Рекомендуемая литература</w:t>
      </w:r>
      <w:r>
        <w:rPr>
          <w:rStyle w:val="af4"/>
          <w:rFonts w:ascii="Times New Roman" w:hAnsi="Times New Roman" w:cs="Times New Roman"/>
          <w:b/>
          <w:color w:val="auto"/>
          <w:sz w:val="28"/>
          <w:szCs w:val="28"/>
        </w:rPr>
        <w:footnoteReference w:id="1"/>
      </w:r>
    </w:p>
    <w:p w:rsidR="001021EB" w:rsidRDefault="001021EB" w:rsidP="001021EB">
      <w:pPr>
        <w:spacing w:before="120"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основная:</w:t>
      </w:r>
    </w:p>
    <w:p w:rsid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Финансовые рынки и финансово-кредитные организации в условиях цифровизации : учеб. для студентов вузов,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обуч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по напр. «Финансы и кредит», «Финансовый менеджмент», «Корпоративные и государственные финансы» / Н. Н. Никулина, С. В. Березина, Т. В.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Стожарова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[и др.] ; под общ. ред. Н. Н. Никулиной.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Москва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ЮНИТИ-ДАНА, 2020.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447 с.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(Серия «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Magister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»).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ISBN 978-5-238-03346-4.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URL: https://znanium.com/catalog/product/1376426 (дата обращения: 29.05.2023).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Блокчейн в платежных системах, цифровые финансовые активы и цифровые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валюты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учеб. пособие для магистратуры / Т. Э. Рождественская, А. А. Ситник, Е. Г. Хоменко, И. В. 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Лагкуева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; под ред. Т. Э. Рождественской, А. А. Ситника. —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Москва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Норма : ИНФРА-М, 2022. — 128 с. 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ISBN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978-5-00156-171-2. 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: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https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://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znanium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.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com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/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catalog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/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product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/1857237 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</w:t>
      </w:r>
    </w:p>
    <w:p w:rsid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Цифровая экономика: актуальные направления правового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регулирования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науч.-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практич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пособие / И. И. Кучеров, С. А. Синицын, С. Б. 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Нанба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[и др.] ; под ред. И. И. 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Кучерова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, С. А. Синицына. —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Москва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НОРМА : ИНФРА-М, 2022. — 376 с. 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ISBN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978-5-00156-210-8. 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: </w:t>
      </w:r>
      <w:hyperlink r:id="rId10"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https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://</w:t>
        </w:r>
        <w:proofErr w:type="spellStart"/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znanium</w:t>
        </w:r>
        <w:proofErr w:type="spellEnd"/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.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com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catalog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product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/1839690</w:t>
        </w:r>
      </w:hyperlink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</w:t>
      </w:r>
    </w:p>
    <w:p w:rsidR="001021EB" w:rsidRDefault="001021EB" w:rsidP="001021EB">
      <w:pPr>
        <w:overflowPunct w:val="0"/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1EB" w:rsidRDefault="001021EB" w:rsidP="001021EB">
      <w:p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lastRenderedPageBreak/>
        <w:t>Максуров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, А. А. Блокчейн, криптовалюта, майнинг: понятие и правовое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регулирование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монография / А. А. 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Максуров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—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Москва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Дашков и К, 2020. — 198 с.  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ISBN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978-5-394-03262-2. 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: </w:t>
      </w:r>
      <w:hyperlink r:id="rId11"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https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://</w:t>
        </w:r>
        <w:proofErr w:type="spellStart"/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znanium</w:t>
        </w:r>
        <w:proofErr w:type="spellEnd"/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.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com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catalog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product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/1231984</w:t>
        </w:r>
      </w:hyperlink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Противодействие преступлениям, совершаемым в сфере оборота </w:t>
      </w:r>
      <w:proofErr w:type="gramStart"/>
      <w:r w:rsidRPr="001021EB">
        <w:rPr>
          <w:rFonts w:ascii="Times New Roman" w:hAnsi="Times New Roman" w:cs="Times New Roman"/>
          <w:sz w:val="28"/>
          <w:szCs w:val="28"/>
          <w:lang w:eastAsia="ru-RU"/>
        </w:rPr>
        <w:t>криптовалюты :</w:t>
      </w:r>
      <w:proofErr w:type="gramEnd"/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Е. А. </w:t>
      </w:r>
      <w:proofErr w:type="spellStart"/>
      <w:r w:rsidRPr="001021EB">
        <w:rPr>
          <w:rFonts w:ascii="Times New Roman" w:hAnsi="Times New Roman" w:cs="Times New Roman"/>
          <w:sz w:val="28"/>
          <w:szCs w:val="28"/>
          <w:lang w:eastAsia="ru-RU"/>
        </w:rPr>
        <w:t>Русскевич</w:t>
      </w:r>
      <w:proofErr w:type="spellEnd"/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, А. В. Андреев, Д. В. </w:t>
      </w:r>
      <w:proofErr w:type="spellStart"/>
      <w:r w:rsidRPr="001021EB">
        <w:rPr>
          <w:rFonts w:ascii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[и др.]. — </w:t>
      </w:r>
      <w:proofErr w:type="gramStart"/>
      <w:r w:rsidRPr="001021EB"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ИНФРА-М, 2023. — 211 с. — (Высшее образование: Магистратура). —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ISBN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978-5-16-017725-0.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URL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hyperlink r:id="rId12"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https</w:t>
        </w:r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znanium</w:t>
        </w:r>
        <w:proofErr w:type="spellEnd"/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/</w:t>
        </w:r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catalog</w:t>
        </w:r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/</w:t>
        </w:r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product</w:t>
        </w:r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/1893877</w:t>
        </w:r>
      </w:hyperlink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Scharfman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J. Cryptocurrency Compliance and Operations Digital Assets, Blockchain and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DeFi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/ Jason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Scharfman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Palgrave Macmillan, 2022.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247 p.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>:</w:t>
      </w:r>
      <w:hyperlink r:id="rId13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/10.1007/978-3-030-88000-2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 </w:t>
      </w:r>
    </w:p>
    <w:p w:rsid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Financial Technology and the Law Combating Financial Crime / ed. </w:t>
      </w:r>
      <w:r>
        <w:rPr>
          <w:rFonts w:ascii="Liberation Serif" w:hAnsi="Liberation Serif" w:cs="Times New Roman"/>
          <w:sz w:val="28"/>
          <w:szCs w:val="28"/>
          <w:lang w:val="en-US" w:eastAsia="ru-RU"/>
        </w:rPr>
        <w:t xml:space="preserve">D. </w:t>
      </w:r>
      <w:proofErr w:type="spellStart"/>
      <w:r>
        <w:rPr>
          <w:rFonts w:ascii="Liberation Serif" w:hAnsi="Liberation Serif" w:cs="Times New Roman"/>
          <w:sz w:val="28"/>
          <w:szCs w:val="28"/>
          <w:lang w:val="en-US" w:eastAsia="ru-RU"/>
        </w:rPr>
        <w:t>Goldbarsht</w:t>
      </w:r>
      <w:proofErr w:type="spellEnd"/>
      <w:r>
        <w:rPr>
          <w:rFonts w:ascii="Liberation Serif" w:hAnsi="Liberation Serif" w:cs="Times New Roman"/>
          <w:sz w:val="28"/>
          <w:szCs w:val="28"/>
          <w:lang w:val="en-US" w:eastAsia="ru-RU"/>
        </w:rPr>
        <w:t xml:space="preserve">, L. de </w:t>
      </w:r>
      <w:proofErr w:type="spellStart"/>
      <w:r>
        <w:rPr>
          <w:rFonts w:ascii="Liberation Serif" w:hAnsi="Liberation Serif" w:cs="Times New Roman"/>
          <w:sz w:val="28"/>
          <w:szCs w:val="28"/>
          <w:lang w:val="en-US" w:eastAsia="ru-RU"/>
        </w:rPr>
        <w:t>Koker</w:t>
      </w:r>
      <w:proofErr w:type="spellEnd"/>
      <w:r>
        <w:rPr>
          <w:rFonts w:ascii="Liberation Serif" w:hAnsi="Liberation Serif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Springer, 2022.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320 p.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URL:</w:t>
      </w:r>
      <w:hyperlink r:id="rId14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https://link.springer.com/book/10.1007/978-3-030-88036-1</w:t>
        </w:r>
      </w:hyperlink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(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дата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обращения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Arslanian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H. The Book of Crypto. The Complete Guide to Understanding Bitcoin, Cryptocurrencies and Digital Assets / Henri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Arslanian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Palgrave Macmillan, 2022.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362 p.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 xml:space="preserve">: </w:t>
      </w:r>
      <w:hyperlink r:id="rId15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/10.1007/978-3-030-97951-5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Braun, T. Compliance Norms in Financial Institutions Measures. Case Studies and Best Practices </w:t>
      </w: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/  Tomasz</w:t>
      </w:r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Braun.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Palgrave Macmillan, 2019.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356 p.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>:</w:t>
      </w:r>
      <w:hyperlink r:id="rId16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/10.1007/978-3-030-24966-3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Gottschalk, P.  Corporate Compliance Crime. Convenience and Control /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Petter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Gottschalk, Christopher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Hamerton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Palgrave Macmillan, 2022.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362 p.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lastRenderedPageBreak/>
        <w:t xml:space="preserve">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 xml:space="preserve">: </w:t>
      </w:r>
      <w:hyperlink r:id="rId17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/10.1007/978-3-031-16123-0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Legal Aspects of Crowdfunding / ed. Caroline Kleiner.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Springer. 2021.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393 p.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>:</w:t>
      </w:r>
      <w:hyperlink r:id="rId18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/10.1007/978-3-030-79264-0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Walters, R. Data Protection Law. A Comparative Analysis of Asia-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Pacifc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European Approaches /Robert Walters, Leon Trakman, Brun Zeller.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Springer, 2019.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346 p.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>:</w:t>
      </w:r>
      <w:hyperlink r:id="rId19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/10.1007/978-981-13-8110-2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A54B9" w:rsidRPr="001021EB" w:rsidRDefault="001A54B9">
      <w:pPr>
        <w:rPr>
          <w:lang w:eastAsia="ru-RU"/>
        </w:rPr>
      </w:pPr>
    </w:p>
    <w:p w:rsidR="001A54B9" w:rsidRDefault="001021EB" w:rsidP="001021EB">
      <w:pPr>
        <w:pStyle w:val="1"/>
        <w:widowControl/>
        <w:spacing w:before="0" w:line="324" w:lineRule="auto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 xml:space="preserve">9. </w:t>
      </w:r>
      <w:r w:rsidR="00E65CB3">
        <w:rPr>
          <w:rFonts w:ascii="Times New Roman" w:hAnsi="Times New Roman" w:cs="Times New Roman"/>
          <w:b/>
          <w:color w:val="auto"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  <w:r w:rsidR="00E65CB3">
        <w:rPr>
          <w:rFonts w:ascii="Times New Roman" w:hAnsi="Times New Roman" w:cs="Times New Roman"/>
          <w:b/>
          <w:color w:val="auto"/>
          <w:sz w:val="28"/>
        </w:rPr>
        <w:t>:</w:t>
      </w:r>
    </w:p>
    <w:p w:rsidR="001A54B9" w:rsidRDefault="001A54B9">
      <w:pPr>
        <w:ind w:leftChars="200" w:left="440"/>
      </w:pP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bookmarkStart w:id="30" w:name="_Ref83390127"/>
      <w:bookmarkStart w:id="31" w:name="_Toc127462837"/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1. </w:t>
      </w:r>
      <w:hyperlink r:id="rId20" w:history="1">
        <w:r w:rsidRPr="001021EB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https://cbr.ru/</w:t>
        </w:r>
      </w:hyperlink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ЦБ РФ</w:t>
      </w: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2. </w:t>
      </w:r>
      <w:hyperlink r:id="rId21" w:history="1">
        <w:r w:rsidRPr="001021EB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https://www.moex.com/</w:t>
        </w:r>
      </w:hyperlink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Московская биржа</w:t>
      </w: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3. </w:t>
      </w:r>
      <w:hyperlink r:id="rId22" w:history="1">
        <w:r w:rsidRPr="001021EB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https://fedsfm.ru/</w:t>
        </w:r>
      </w:hyperlink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Росфинмониторинг</w:t>
      </w: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4. </w:t>
      </w:r>
      <w:hyperlink r:id="rId23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www.ssrn.com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Портал научных публикаций по экономическим и социальным наукам.</w:t>
      </w: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5. </w:t>
      </w:r>
      <w:hyperlink r:id="rId24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https://www.fatf-gafi.org/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- ФАТФ</w:t>
      </w:r>
    </w:p>
    <w:p w:rsidR="001A54B9" w:rsidRPr="001021EB" w:rsidRDefault="00E65CB3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6. </w:t>
      </w:r>
      <w:hyperlink r:id="rId25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www.bis.org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Банк международных расчетов.</w:t>
      </w:r>
    </w:p>
    <w:p w:rsidR="001A54B9" w:rsidRPr="001021EB" w:rsidRDefault="00E65CB3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7. </w:t>
      </w:r>
      <w:hyperlink r:id="rId26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www.imf.org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Международный валютный фонд.</w:t>
      </w:r>
    </w:p>
    <w:p w:rsidR="001A54B9" w:rsidRPr="001021EB" w:rsidRDefault="00E65CB3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8. </w:t>
      </w:r>
      <w:hyperlink r:id="rId27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www.oecd.org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Организация экономического сотрудничества и развития.</w:t>
      </w:r>
    </w:p>
    <w:p w:rsidR="001A54B9" w:rsidRDefault="00E65CB3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9. </w:t>
      </w:r>
      <w:hyperlink r:id="rId28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www.worldbank.org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Всемирный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банк. 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30"/>
      <w:bookmarkEnd w:id="31"/>
      <w:r>
        <w:rPr>
          <w:rFonts w:ascii="Times New Roman" w:hAnsi="Times New Roman" w:cs="Times New Roman"/>
          <w:b/>
          <w:color w:val="auto"/>
          <w:sz w:val="28"/>
        </w:rPr>
        <w:t>.</w:t>
      </w:r>
    </w:p>
    <w:p w:rsidR="001A54B9" w:rsidRDefault="00E65CB3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rFonts w:eastAsiaTheme="minorEastAsia"/>
          <w:sz w:val="28"/>
          <w:szCs w:val="28"/>
        </w:rPr>
        <w:t xml:space="preserve">Руководствуясь Приказом 1040/о от 11.05.2021 г. «Об утверждении Методических рекомендаций по планированию и организации внеаудиторной </w:t>
      </w:r>
      <w:r>
        <w:rPr>
          <w:rStyle w:val="afe"/>
          <w:rFonts w:eastAsiaTheme="minorEastAsia"/>
          <w:sz w:val="28"/>
          <w:szCs w:val="28"/>
        </w:rPr>
        <w:lastRenderedPageBreak/>
        <w:t xml:space="preserve">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</w:t>
      </w:r>
      <w:r w:rsidR="001021EB">
        <w:rPr>
          <w:rStyle w:val="afe"/>
          <w:rFonts w:eastAsiaTheme="minorEastAsia"/>
          <w:sz w:val="28"/>
          <w:szCs w:val="28"/>
        </w:rPr>
        <w:t>к эссе</w:t>
      </w:r>
      <w:r>
        <w:rPr>
          <w:rStyle w:val="afe"/>
          <w:rFonts w:eastAsiaTheme="minorEastAsia"/>
          <w:sz w:val="28"/>
          <w:szCs w:val="28"/>
        </w:rPr>
        <w:t>: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2" w:name="_Toc127462838"/>
      <w:bookmarkStart w:id="33" w:name="_Ref83390131"/>
      <w:r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2"/>
      <w:bookmarkEnd w:id="33"/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4" w:name="_Toc86153250"/>
      <w:bookmarkStart w:id="35" w:name="_Toc127462839"/>
      <w:bookmarkStart w:id="36" w:name="_Ref83390134"/>
      <w:r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34"/>
      <w:bookmarkEnd w:id="35"/>
      <w:bookmarkEnd w:id="36"/>
    </w:p>
    <w:p w:rsidR="001A54B9" w:rsidRPr="004B4457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5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4B4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:rsidR="001A54B9" w:rsidRPr="004B4457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5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4B4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4B4457">
        <w:rPr>
          <w:rFonts w:ascii="Times New Roman" w:hAnsi="Times New Roman" w:cs="Times New Roman"/>
          <w:sz w:val="28"/>
          <w:szCs w:val="28"/>
        </w:rPr>
        <w:t>.</w:t>
      </w:r>
    </w:p>
    <w:p w:rsidR="001A54B9" w:rsidRPr="004B4457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5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Pr="004B4457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Pr="004B4457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7" w:name="_Ref83390138"/>
      <w:bookmarkStart w:id="38" w:name="_Toc127462840"/>
      <w:bookmarkStart w:id="39" w:name="_Toc86153251"/>
      <w:r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bookmarkEnd w:id="39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Toc86153252"/>
      <w:bookmarkStart w:id="41" w:name="_Ref83390142"/>
      <w:bookmarkStart w:id="42" w:name="_Toc127462841"/>
      <w:r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40"/>
      <w:bookmarkEnd w:id="41"/>
      <w:bookmarkEnd w:id="42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используются.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3" w:name="_Ref83390145"/>
      <w:bookmarkStart w:id="44" w:name="_Toc127462842"/>
      <w:r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  <w:bookmarkEnd w:id="44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1A54B9">
      <w:headerReference w:type="default" r:id="rId29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4C1" w:rsidRDefault="003764C1">
      <w:pPr>
        <w:spacing w:line="240" w:lineRule="auto"/>
      </w:pPr>
      <w:r>
        <w:separator/>
      </w:r>
    </w:p>
  </w:endnote>
  <w:endnote w:type="continuationSeparator" w:id="0">
    <w:p w:rsidR="003764C1" w:rsidRDefault="003764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roman"/>
    <w:pitch w:val="default"/>
  </w:font>
  <w:font w:name="Liberation Sans">
    <w:altName w:val="Arial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01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Times New Roman Полужирный">
    <w:panose1 w:val="02020803070505020304"/>
    <w:charset w:val="01"/>
    <w:family w:val="roman"/>
    <w:pitch w:val="default"/>
  </w:font>
  <w:font w:name="PTSans-Regular">
    <w:altName w:val="Segoe Print"/>
    <w:charset w:val="00"/>
    <w:family w:val="auto"/>
    <w:pitch w:val="default"/>
  </w:font>
  <w:font w:name="Liberation Serif">
    <w:altName w:val="HGPMinchoE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1318423"/>
    </w:sdtPr>
    <w:sdtContent>
      <w:p w:rsidR="00511F90" w:rsidRDefault="00511F9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59</w:t>
        </w:r>
        <w:r>
          <w:fldChar w:fldCharType="end"/>
        </w:r>
      </w:p>
    </w:sdtContent>
  </w:sdt>
  <w:p w:rsidR="00511F90" w:rsidRDefault="00511F9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4C1" w:rsidRDefault="003764C1">
      <w:pPr>
        <w:spacing w:after="0"/>
      </w:pPr>
      <w:r>
        <w:separator/>
      </w:r>
    </w:p>
  </w:footnote>
  <w:footnote w:type="continuationSeparator" w:id="0">
    <w:p w:rsidR="003764C1" w:rsidRDefault="003764C1">
      <w:pPr>
        <w:spacing w:after="0"/>
      </w:pPr>
      <w:r>
        <w:continuationSeparator/>
      </w:r>
    </w:p>
  </w:footnote>
  <w:footnote w:id="1">
    <w:p w:rsidR="001021EB" w:rsidRDefault="001021EB" w:rsidP="001021EB">
      <w:pPr>
        <w:pStyle w:val="a7"/>
      </w:pPr>
      <w:r>
        <w:rPr>
          <w:rStyle w:val="afa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F90" w:rsidRDefault="00511F90">
    <w:pPr>
      <w:pStyle w:val="a8"/>
      <w:jc w:val="center"/>
    </w:pPr>
  </w:p>
  <w:p w:rsidR="00511F90" w:rsidRDefault="00511F9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F90" w:rsidRDefault="00511F90">
    <w:pPr>
      <w:pStyle w:val="a8"/>
      <w:jc w:val="center"/>
    </w:pPr>
  </w:p>
  <w:p w:rsidR="00511F90" w:rsidRDefault="00511F9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DDD713E"/>
    <w:multiLevelType w:val="singleLevel"/>
    <w:tmpl w:val="ADDD713E"/>
    <w:lvl w:ilvl="0">
      <w:start w:val="1"/>
      <w:numFmt w:val="decimal"/>
      <w:suff w:val="space"/>
      <w:lvlText w:val="%1."/>
      <w:lvlJc w:val="left"/>
      <w:rPr>
        <w:rFonts w:hint="default"/>
        <w:i w:val="0"/>
        <w:iCs w:val="0"/>
      </w:rPr>
    </w:lvl>
  </w:abstractNum>
  <w:abstractNum w:abstractNumId="1" w15:restartNumberingAfterBreak="0">
    <w:nsid w:val="B98CD5BA"/>
    <w:multiLevelType w:val="singleLevel"/>
    <w:tmpl w:val="B98CD5B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E42DA52"/>
    <w:multiLevelType w:val="multilevel"/>
    <w:tmpl w:val="CE42DA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F57F2E42"/>
    <w:multiLevelType w:val="singleLevel"/>
    <w:tmpl w:val="F57F2E42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6278F82"/>
    <w:multiLevelType w:val="singleLevel"/>
    <w:tmpl w:val="06278F82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D41381C"/>
    <w:multiLevelType w:val="multilevel"/>
    <w:tmpl w:val="0D41381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50EEA21"/>
    <w:multiLevelType w:val="singleLevel"/>
    <w:tmpl w:val="150EEA21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5920C14"/>
    <w:multiLevelType w:val="multilevel"/>
    <w:tmpl w:val="3062830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6A5F58D"/>
    <w:multiLevelType w:val="singleLevel"/>
    <w:tmpl w:val="56A5F58D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576F0BFB"/>
    <w:multiLevelType w:val="singleLevel"/>
    <w:tmpl w:val="576F0BF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6EBA3028"/>
    <w:multiLevelType w:val="multilevel"/>
    <w:tmpl w:val="764830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0FA998E"/>
    <w:multiLevelType w:val="singleLevel"/>
    <w:tmpl w:val="70FA998E"/>
    <w:lvl w:ilvl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884"/>
    <w:rsid w:val="00003A8E"/>
    <w:rsid w:val="0000483F"/>
    <w:rsid w:val="000079D2"/>
    <w:rsid w:val="00010F1C"/>
    <w:rsid w:val="00012282"/>
    <w:rsid w:val="0001788F"/>
    <w:rsid w:val="000274DF"/>
    <w:rsid w:val="00027781"/>
    <w:rsid w:val="00031EB9"/>
    <w:rsid w:val="000360CF"/>
    <w:rsid w:val="000432F8"/>
    <w:rsid w:val="00051E4D"/>
    <w:rsid w:val="00053190"/>
    <w:rsid w:val="00060F31"/>
    <w:rsid w:val="00063289"/>
    <w:rsid w:val="00064E8C"/>
    <w:rsid w:val="00065566"/>
    <w:rsid w:val="000712D4"/>
    <w:rsid w:val="00073416"/>
    <w:rsid w:val="000835E8"/>
    <w:rsid w:val="00090549"/>
    <w:rsid w:val="000A04C3"/>
    <w:rsid w:val="000B1451"/>
    <w:rsid w:val="000B61FB"/>
    <w:rsid w:val="000B6738"/>
    <w:rsid w:val="000D4906"/>
    <w:rsid w:val="000F0A85"/>
    <w:rsid w:val="00102086"/>
    <w:rsid w:val="001021EB"/>
    <w:rsid w:val="0011466B"/>
    <w:rsid w:val="00123B8E"/>
    <w:rsid w:val="00125AC2"/>
    <w:rsid w:val="00126AE3"/>
    <w:rsid w:val="00134B70"/>
    <w:rsid w:val="00141F67"/>
    <w:rsid w:val="00146CB1"/>
    <w:rsid w:val="00147C5B"/>
    <w:rsid w:val="00151521"/>
    <w:rsid w:val="00160412"/>
    <w:rsid w:val="00173B8E"/>
    <w:rsid w:val="00180A99"/>
    <w:rsid w:val="00186A00"/>
    <w:rsid w:val="00187A0B"/>
    <w:rsid w:val="0019783D"/>
    <w:rsid w:val="00197ACF"/>
    <w:rsid w:val="001A54B9"/>
    <w:rsid w:val="001D1B7D"/>
    <w:rsid w:val="001D3361"/>
    <w:rsid w:val="001D3535"/>
    <w:rsid w:val="001D5770"/>
    <w:rsid w:val="001D618E"/>
    <w:rsid w:val="001F219E"/>
    <w:rsid w:val="0020659B"/>
    <w:rsid w:val="00206EDE"/>
    <w:rsid w:val="002071DB"/>
    <w:rsid w:val="002153B4"/>
    <w:rsid w:val="00217232"/>
    <w:rsid w:val="00227B7D"/>
    <w:rsid w:val="00231164"/>
    <w:rsid w:val="00234AE0"/>
    <w:rsid w:val="002369CC"/>
    <w:rsid w:val="0024682F"/>
    <w:rsid w:val="002512C8"/>
    <w:rsid w:val="002563A2"/>
    <w:rsid w:val="002569BB"/>
    <w:rsid w:val="002613A7"/>
    <w:rsid w:val="002624A5"/>
    <w:rsid w:val="00262EDB"/>
    <w:rsid w:val="00272D1E"/>
    <w:rsid w:val="00276490"/>
    <w:rsid w:val="00276CEA"/>
    <w:rsid w:val="00277E24"/>
    <w:rsid w:val="00283596"/>
    <w:rsid w:val="002A0172"/>
    <w:rsid w:val="002A034C"/>
    <w:rsid w:val="002A7FDF"/>
    <w:rsid w:val="002B0A78"/>
    <w:rsid w:val="002B3B3B"/>
    <w:rsid w:val="002B4966"/>
    <w:rsid w:val="002C09B0"/>
    <w:rsid w:val="002C1EE5"/>
    <w:rsid w:val="002D5394"/>
    <w:rsid w:val="002E2EE8"/>
    <w:rsid w:val="002E4C09"/>
    <w:rsid w:val="002E5267"/>
    <w:rsid w:val="002E5636"/>
    <w:rsid w:val="002F2793"/>
    <w:rsid w:val="0031472F"/>
    <w:rsid w:val="00321E08"/>
    <w:rsid w:val="00331A10"/>
    <w:rsid w:val="003320E0"/>
    <w:rsid w:val="00332232"/>
    <w:rsid w:val="003344DD"/>
    <w:rsid w:val="003433DE"/>
    <w:rsid w:val="003476A4"/>
    <w:rsid w:val="00350373"/>
    <w:rsid w:val="00352301"/>
    <w:rsid w:val="00361C88"/>
    <w:rsid w:val="003628F3"/>
    <w:rsid w:val="00370A72"/>
    <w:rsid w:val="00372C9C"/>
    <w:rsid w:val="00373BD4"/>
    <w:rsid w:val="003745BD"/>
    <w:rsid w:val="003764C1"/>
    <w:rsid w:val="00376766"/>
    <w:rsid w:val="0038177F"/>
    <w:rsid w:val="003855E4"/>
    <w:rsid w:val="00386B6D"/>
    <w:rsid w:val="00387390"/>
    <w:rsid w:val="003A0031"/>
    <w:rsid w:val="003A4221"/>
    <w:rsid w:val="003B0895"/>
    <w:rsid w:val="003B4972"/>
    <w:rsid w:val="003C1D4C"/>
    <w:rsid w:val="003C20EE"/>
    <w:rsid w:val="003C6BAC"/>
    <w:rsid w:val="003D37C8"/>
    <w:rsid w:val="003D4165"/>
    <w:rsid w:val="003D4D75"/>
    <w:rsid w:val="003E2679"/>
    <w:rsid w:val="003E67A2"/>
    <w:rsid w:val="003F4884"/>
    <w:rsid w:val="003F74E9"/>
    <w:rsid w:val="00413320"/>
    <w:rsid w:val="00417211"/>
    <w:rsid w:val="00423003"/>
    <w:rsid w:val="00426D73"/>
    <w:rsid w:val="00432741"/>
    <w:rsid w:val="00434299"/>
    <w:rsid w:val="00440E68"/>
    <w:rsid w:val="0044242B"/>
    <w:rsid w:val="00443079"/>
    <w:rsid w:val="00460EAA"/>
    <w:rsid w:val="00461DD5"/>
    <w:rsid w:val="00462F1E"/>
    <w:rsid w:val="00465191"/>
    <w:rsid w:val="00480367"/>
    <w:rsid w:val="00481042"/>
    <w:rsid w:val="00487480"/>
    <w:rsid w:val="0048788F"/>
    <w:rsid w:val="004917EC"/>
    <w:rsid w:val="0049576B"/>
    <w:rsid w:val="004A3499"/>
    <w:rsid w:val="004A5121"/>
    <w:rsid w:val="004B0216"/>
    <w:rsid w:val="004B1882"/>
    <w:rsid w:val="004B4161"/>
    <w:rsid w:val="004B4457"/>
    <w:rsid w:val="004C14B4"/>
    <w:rsid w:val="004C1A9E"/>
    <w:rsid w:val="004C6B49"/>
    <w:rsid w:val="004D4D9D"/>
    <w:rsid w:val="004D5B14"/>
    <w:rsid w:val="004E6DCA"/>
    <w:rsid w:val="004E7BCD"/>
    <w:rsid w:val="004E7EC8"/>
    <w:rsid w:val="0051033B"/>
    <w:rsid w:val="005111E3"/>
    <w:rsid w:val="00511F90"/>
    <w:rsid w:val="00516906"/>
    <w:rsid w:val="00524797"/>
    <w:rsid w:val="00524851"/>
    <w:rsid w:val="00525E18"/>
    <w:rsid w:val="005308B8"/>
    <w:rsid w:val="00531AF9"/>
    <w:rsid w:val="00534337"/>
    <w:rsid w:val="005418B1"/>
    <w:rsid w:val="00544F00"/>
    <w:rsid w:val="005454BE"/>
    <w:rsid w:val="00562C82"/>
    <w:rsid w:val="00563A72"/>
    <w:rsid w:val="00565DE7"/>
    <w:rsid w:val="00577369"/>
    <w:rsid w:val="00583DC2"/>
    <w:rsid w:val="00586931"/>
    <w:rsid w:val="00595ED1"/>
    <w:rsid w:val="005A1ABF"/>
    <w:rsid w:val="005A4563"/>
    <w:rsid w:val="005A75CB"/>
    <w:rsid w:val="005B374E"/>
    <w:rsid w:val="005B378A"/>
    <w:rsid w:val="005C55D5"/>
    <w:rsid w:val="005C5F23"/>
    <w:rsid w:val="005C6877"/>
    <w:rsid w:val="005D04B5"/>
    <w:rsid w:val="005D5E4D"/>
    <w:rsid w:val="005E0858"/>
    <w:rsid w:val="005E1254"/>
    <w:rsid w:val="005F71AC"/>
    <w:rsid w:val="00600630"/>
    <w:rsid w:val="00606006"/>
    <w:rsid w:val="0061043A"/>
    <w:rsid w:val="006209E6"/>
    <w:rsid w:val="00623166"/>
    <w:rsid w:val="00630226"/>
    <w:rsid w:val="006331A8"/>
    <w:rsid w:val="0063362C"/>
    <w:rsid w:val="00637383"/>
    <w:rsid w:val="006461DE"/>
    <w:rsid w:val="006530B8"/>
    <w:rsid w:val="00654E00"/>
    <w:rsid w:val="00656187"/>
    <w:rsid w:val="006628EF"/>
    <w:rsid w:val="006654B7"/>
    <w:rsid w:val="00671962"/>
    <w:rsid w:val="006742DB"/>
    <w:rsid w:val="00676B97"/>
    <w:rsid w:val="006818C6"/>
    <w:rsid w:val="0068320C"/>
    <w:rsid w:val="00683506"/>
    <w:rsid w:val="00692CDA"/>
    <w:rsid w:val="00693899"/>
    <w:rsid w:val="0069518D"/>
    <w:rsid w:val="006A08EE"/>
    <w:rsid w:val="006A5656"/>
    <w:rsid w:val="006A7DF6"/>
    <w:rsid w:val="006B5CB2"/>
    <w:rsid w:val="006B7849"/>
    <w:rsid w:val="006C35F8"/>
    <w:rsid w:val="006D22B7"/>
    <w:rsid w:val="006D612E"/>
    <w:rsid w:val="006D6A82"/>
    <w:rsid w:val="006F027C"/>
    <w:rsid w:val="006F57AF"/>
    <w:rsid w:val="006F6294"/>
    <w:rsid w:val="0070084B"/>
    <w:rsid w:val="00704CAE"/>
    <w:rsid w:val="007112B9"/>
    <w:rsid w:val="00713FBE"/>
    <w:rsid w:val="00725109"/>
    <w:rsid w:val="00725A96"/>
    <w:rsid w:val="007307C6"/>
    <w:rsid w:val="007313FE"/>
    <w:rsid w:val="00731FE3"/>
    <w:rsid w:val="0073447D"/>
    <w:rsid w:val="0073471D"/>
    <w:rsid w:val="0074119E"/>
    <w:rsid w:val="00744621"/>
    <w:rsid w:val="00750787"/>
    <w:rsid w:val="00756518"/>
    <w:rsid w:val="00757759"/>
    <w:rsid w:val="007609E7"/>
    <w:rsid w:val="00765586"/>
    <w:rsid w:val="007830F5"/>
    <w:rsid w:val="00784BE3"/>
    <w:rsid w:val="00786BC6"/>
    <w:rsid w:val="007870F8"/>
    <w:rsid w:val="007905A3"/>
    <w:rsid w:val="00795F2B"/>
    <w:rsid w:val="007A7577"/>
    <w:rsid w:val="007B5F41"/>
    <w:rsid w:val="007B6513"/>
    <w:rsid w:val="007D10EB"/>
    <w:rsid w:val="007D54BD"/>
    <w:rsid w:val="007E7681"/>
    <w:rsid w:val="007E7A99"/>
    <w:rsid w:val="007E7DFF"/>
    <w:rsid w:val="007F2048"/>
    <w:rsid w:val="007F36A3"/>
    <w:rsid w:val="007F7B76"/>
    <w:rsid w:val="00811A82"/>
    <w:rsid w:val="0081266B"/>
    <w:rsid w:val="0081431A"/>
    <w:rsid w:val="00816A15"/>
    <w:rsid w:val="00817DCA"/>
    <w:rsid w:val="00826F24"/>
    <w:rsid w:val="008305A6"/>
    <w:rsid w:val="00844DDE"/>
    <w:rsid w:val="008457E4"/>
    <w:rsid w:val="00850337"/>
    <w:rsid w:val="0085790B"/>
    <w:rsid w:val="00862E4D"/>
    <w:rsid w:val="0086425F"/>
    <w:rsid w:val="00864ED8"/>
    <w:rsid w:val="00885BFC"/>
    <w:rsid w:val="00891B11"/>
    <w:rsid w:val="008932A9"/>
    <w:rsid w:val="00894A9A"/>
    <w:rsid w:val="00897133"/>
    <w:rsid w:val="008A39D2"/>
    <w:rsid w:val="008B41E3"/>
    <w:rsid w:val="008B725C"/>
    <w:rsid w:val="008B7C11"/>
    <w:rsid w:val="008C1F4E"/>
    <w:rsid w:val="008C4701"/>
    <w:rsid w:val="008C5D1A"/>
    <w:rsid w:val="008D2185"/>
    <w:rsid w:val="008D2585"/>
    <w:rsid w:val="008D3DC5"/>
    <w:rsid w:val="008E2800"/>
    <w:rsid w:val="008E30B5"/>
    <w:rsid w:val="008F0FB9"/>
    <w:rsid w:val="008F1CC4"/>
    <w:rsid w:val="008F2BA3"/>
    <w:rsid w:val="008F61E4"/>
    <w:rsid w:val="008F6711"/>
    <w:rsid w:val="008F6BD8"/>
    <w:rsid w:val="0091131D"/>
    <w:rsid w:val="0092412A"/>
    <w:rsid w:val="0093059C"/>
    <w:rsid w:val="009422E8"/>
    <w:rsid w:val="009447D6"/>
    <w:rsid w:val="009705FA"/>
    <w:rsid w:val="009711B0"/>
    <w:rsid w:val="00974DE7"/>
    <w:rsid w:val="00975820"/>
    <w:rsid w:val="009815CA"/>
    <w:rsid w:val="00982313"/>
    <w:rsid w:val="0098264A"/>
    <w:rsid w:val="00985818"/>
    <w:rsid w:val="0099391E"/>
    <w:rsid w:val="0099674A"/>
    <w:rsid w:val="009A32CD"/>
    <w:rsid w:val="009C0844"/>
    <w:rsid w:val="009D5D0C"/>
    <w:rsid w:val="009E0CCE"/>
    <w:rsid w:val="009F0945"/>
    <w:rsid w:val="009F48B6"/>
    <w:rsid w:val="009F5E27"/>
    <w:rsid w:val="009F746D"/>
    <w:rsid w:val="00A039A0"/>
    <w:rsid w:val="00A22ABB"/>
    <w:rsid w:val="00A271E4"/>
    <w:rsid w:val="00A31AA2"/>
    <w:rsid w:val="00A31F32"/>
    <w:rsid w:val="00A47039"/>
    <w:rsid w:val="00A4741D"/>
    <w:rsid w:val="00A53232"/>
    <w:rsid w:val="00A60C08"/>
    <w:rsid w:val="00A64250"/>
    <w:rsid w:val="00A6458F"/>
    <w:rsid w:val="00A75CFF"/>
    <w:rsid w:val="00A9482D"/>
    <w:rsid w:val="00AA34AC"/>
    <w:rsid w:val="00AB1EAE"/>
    <w:rsid w:val="00AB2D13"/>
    <w:rsid w:val="00AB4982"/>
    <w:rsid w:val="00AC0EA6"/>
    <w:rsid w:val="00AC35F3"/>
    <w:rsid w:val="00AD3141"/>
    <w:rsid w:val="00AD3C84"/>
    <w:rsid w:val="00AD5A30"/>
    <w:rsid w:val="00AE3809"/>
    <w:rsid w:val="00AF1CFE"/>
    <w:rsid w:val="00B1019C"/>
    <w:rsid w:val="00B14421"/>
    <w:rsid w:val="00B23318"/>
    <w:rsid w:val="00B238D8"/>
    <w:rsid w:val="00B30A5D"/>
    <w:rsid w:val="00B34807"/>
    <w:rsid w:val="00B37072"/>
    <w:rsid w:val="00B5193A"/>
    <w:rsid w:val="00B64003"/>
    <w:rsid w:val="00B77D40"/>
    <w:rsid w:val="00B81BEF"/>
    <w:rsid w:val="00B92E36"/>
    <w:rsid w:val="00BB3C99"/>
    <w:rsid w:val="00BB5BA0"/>
    <w:rsid w:val="00BC1E4A"/>
    <w:rsid w:val="00BD031A"/>
    <w:rsid w:val="00BD03C4"/>
    <w:rsid w:val="00BD538B"/>
    <w:rsid w:val="00BD5C2B"/>
    <w:rsid w:val="00BF236D"/>
    <w:rsid w:val="00BF6132"/>
    <w:rsid w:val="00BF61F5"/>
    <w:rsid w:val="00C01148"/>
    <w:rsid w:val="00C05F4A"/>
    <w:rsid w:val="00C07205"/>
    <w:rsid w:val="00C07F65"/>
    <w:rsid w:val="00C11204"/>
    <w:rsid w:val="00C25F6B"/>
    <w:rsid w:val="00C310C7"/>
    <w:rsid w:val="00C47438"/>
    <w:rsid w:val="00C505E1"/>
    <w:rsid w:val="00C5069F"/>
    <w:rsid w:val="00C53946"/>
    <w:rsid w:val="00C57125"/>
    <w:rsid w:val="00C60274"/>
    <w:rsid w:val="00C6555F"/>
    <w:rsid w:val="00C65B73"/>
    <w:rsid w:val="00C67164"/>
    <w:rsid w:val="00C67317"/>
    <w:rsid w:val="00C67C8E"/>
    <w:rsid w:val="00C71271"/>
    <w:rsid w:val="00C74B6C"/>
    <w:rsid w:val="00C77127"/>
    <w:rsid w:val="00C94713"/>
    <w:rsid w:val="00CA285C"/>
    <w:rsid w:val="00CA7B46"/>
    <w:rsid w:val="00CB4D05"/>
    <w:rsid w:val="00CC3CEB"/>
    <w:rsid w:val="00CC529A"/>
    <w:rsid w:val="00CD2037"/>
    <w:rsid w:val="00CD2CD7"/>
    <w:rsid w:val="00CD4F1E"/>
    <w:rsid w:val="00CD6839"/>
    <w:rsid w:val="00CD7674"/>
    <w:rsid w:val="00CE310A"/>
    <w:rsid w:val="00CE75F8"/>
    <w:rsid w:val="00CF24EB"/>
    <w:rsid w:val="00CF3152"/>
    <w:rsid w:val="00CF5771"/>
    <w:rsid w:val="00CF6C40"/>
    <w:rsid w:val="00CF71EC"/>
    <w:rsid w:val="00D02E6E"/>
    <w:rsid w:val="00D079F6"/>
    <w:rsid w:val="00D1363F"/>
    <w:rsid w:val="00D17F43"/>
    <w:rsid w:val="00D2070B"/>
    <w:rsid w:val="00D22A02"/>
    <w:rsid w:val="00D30A80"/>
    <w:rsid w:val="00D318FE"/>
    <w:rsid w:val="00D36B33"/>
    <w:rsid w:val="00D47D78"/>
    <w:rsid w:val="00D52BCE"/>
    <w:rsid w:val="00D608CE"/>
    <w:rsid w:val="00D65624"/>
    <w:rsid w:val="00D6656E"/>
    <w:rsid w:val="00D66582"/>
    <w:rsid w:val="00D74D35"/>
    <w:rsid w:val="00D85642"/>
    <w:rsid w:val="00DA6A79"/>
    <w:rsid w:val="00DD57AF"/>
    <w:rsid w:val="00DD7908"/>
    <w:rsid w:val="00DE6E7C"/>
    <w:rsid w:val="00DF506E"/>
    <w:rsid w:val="00DF5BEA"/>
    <w:rsid w:val="00E000C2"/>
    <w:rsid w:val="00E00823"/>
    <w:rsid w:val="00E05FC1"/>
    <w:rsid w:val="00E10F4E"/>
    <w:rsid w:val="00E212A4"/>
    <w:rsid w:val="00E24146"/>
    <w:rsid w:val="00E24FFB"/>
    <w:rsid w:val="00E333E7"/>
    <w:rsid w:val="00E357C7"/>
    <w:rsid w:val="00E362C9"/>
    <w:rsid w:val="00E42549"/>
    <w:rsid w:val="00E56F06"/>
    <w:rsid w:val="00E637FB"/>
    <w:rsid w:val="00E65CB3"/>
    <w:rsid w:val="00E70414"/>
    <w:rsid w:val="00E72553"/>
    <w:rsid w:val="00E762C5"/>
    <w:rsid w:val="00E81150"/>
    <w:rsid w:val="00E854DE"/>
    <w:rsid w:val="00E8578E"/>
    <w:rsid w:val="00E865AA"/>
    <w:rsid w:val="00E9698F"/>
    <w:rsid w:val="00E970C1"/>
    <w:rsid w:val="00EA0939"/>
    <w:rsid w:val="00EA6986"/>
    <w:rsid w:val="00EB3DD1"/>
    <w:rsid w:val="00EB5E04"/>
    <w:rsid w:val="00EC0B78"/>
    <w:rsid w:val="00EC591E"/>
    <w:rsid w:val="00ED0654"/>
    <w:rsid w:val="00ED5D40"/>
    <w:rsid w:val="00EE4A3C"/>
    <w:rsid w:val="00EF13D8"/>
    <w:rsid w:val="00EF19C8"/>
    <w:rsid w:val="00EF261E"/>
    <w:rsid w:val="00EF7053"/>
    <w:rsid w:val="00EF7965"/>
    <w:rsid w:val="00F03C5A"/>
    <w:rsid w:val="00F1356B"/>
    <w:rsid w:val="00F30FB8"/>
    <w:rsid w:val="00F32037"/>
    <w:rsid w:val="00F368E6"/>
    <w:rsid w:val="00F4544E"/>
    <w:rsid w:val="00F53C1A"/>
    <w:rsid w:val="00F56B15"/>
    <w:rsid w:val="00F56F72"/>
    <w:rsid w:val="00F65AF8"/>
    <w:rsid w:val="00F76CA6"/>
    <w:rsid w:val="00F848A8"/>
    <w:rsid w:val="00F85BA5"/>
    <w:rsid w:val="00F86E0D"/>
    <w:rsid w:val="00FA4005"/>
    <w:rsid w:val="00FA78AF"/>
    <w:rsid w:val="00FB0BDA"/>
    <w:rsid w:val="00FB2437"/>
    <w:rsid w:val="00FB5E72"/>
    <w:rsid w:val="00FB6A20"/>
    <w:rsid w:val="00FC307B"/>
    <w:rsid w:val="00FF076C"/>
    <w:rsid w:val="01D71E75"/>
    <w:rsid w:val="0A7233C5"/>
    <w:rsid w:val="0B9815D2"/>
    <w:rsid w:val="155F5FA6"/>
    <w:rsid w:val="1B61020C"/>
    <w:rsid w:val="1DAE353C"/>
    <w:rsid w:val="25CC4488"/>
    <w:rsid w:val="2A0A752E"/>
    <w:rsid w:val="2C5A2DC8"/>
    <w:rsid w:val="2D2E7DF5"/>
    <w:rsid w:val="2F3A3AA9"/>
    <w:rsid w:val="2FF506D9"/>
    <w:rsid w:val="329B3184"/>
    <w:rsid w:val="338F51F8"/>
    <w:rsid w:val="3A8F245C"/>
    <w:rsid w:val="40361359"/>
    <w:rsid w:val="41D763BA"/>
    <w:rsid w:val="46193650"/>
    <w:rsid w:val="50F360CF"/>
    <w:rsid w:val="531914A5"/>
    <w:rsid w:val="55517F03"/>
    <w:rsid w:val="567F5C1A"/>
    <w:rsid w:val="57182833"/>
    <w:rsid w:val="5765121D"/>
    <w:rsid w:val="5D897A7A"/>
    <w:rsid w:val="65A4385D"/>
    <w:rsid w:val="69AD5738"/>
    <w:rsid w:val="7875749D"/>
    <w:rsid w:val="7CE1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F374F"/>
  <w15:docId w15:val="{90EA8D5D-16DF-491D-BC69-20FF55B7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uiPriority w:val="99"/>
    <w:semiHidden/>
    <w:unhideWhenUsed/>
    <w:qFormat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qFormat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pPr>
      <w:spacing w:after="0" w:line="240" w:lineRule="auto"/>
      <w:ind w:left="220" w:hanging="220"/>
    </w:pPr>
  </w:style>
  <w:style w:type="paragraph" w:styleId="a7">
    <w:name w:val="footnote text"/>
    <w:basedOn w:val="a"/>
    <w:link w:val="3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uiPriority w:val="99"/>
    <w:unhideWhenUsed/>
    <w:qFormat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unhideWhenUsed/>
    <w:qFormat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index heading"/>
    <w:basedOn w:val="11"/>
    <w:next w:val="10"/>
    <w:qFormat/>
  </w:style>
  <w:style w:type="paragraph" w:customStyle="1" w:styleId="11">
    <w:name w:val="Заголовок11"/>
    <w:basedOn w:val="a"/>
    <w:next w:val="a9"/>
    <w:qFormat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2">
    <w:name w:val="toc 1"/>
    <w:basedOn w:val="a"/>
    <w:next w:val="a"/>
    <w:uiPriority w:val="39"/>
    <w:unhideWhenUsed/>
    <w:qFormat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9"/>
    <w:link w:val="ac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footer"/>
    <w:basedOn w:val="a"/>
    <w:uiPriority w:val="99"/>
    <w:unhideWhenUsed/>
    <w:qFormat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"/>
    <w:basedOn w:val="a9"/>
    <w:qFormat/>
    <w:rPr>
      <w:rFonts w:cs="Noto Sans Devanagari"/>
    </w:rPr>
  </w:style>
  <w:style w:type="paragraph" w:styleId="af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next w:val="a"/>
    <w:uiPriority w:val="11"/>
    <w:qFormat/>
    <w:pPr>
      <w:widowControl w:val="0"/>
      <w:spacing w:line="240" w:lineRule="auto"/>
    </w:pPr>
    <w:rPr>
      <w:rFonts w:eastAsiaTheme="minorEastAsia"/>
      <w:color w:val="595959" w:themeColor="text1" w:themeTint="A6"/>
      <w:spacing w:val="15"/>
      <w:lang w:eastAsia="ru-RU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Текст сноски Знак3"/>
    <w:basedOn w:val="a0"/>
    <w:link w:val="a7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f2">
    <w:name w:val="Название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13">
    <w:name w:val="Текст сноски Знак1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-">
    <w:name w:val="Интернет-ссылка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f9">
    <w:name w:val="Подзаголовок Знак"/>
    <w:basedOn w:val="a0"/>
    <w:uiPriority w:val="11"/>
    <w:qFormat/>
    <w:rPr>
      <w:rFonts w:eastAsiaTheme="minorEastAsia"/>
      <w:color w:val="595959" w:themeColor="text1" w:themeTint="A6"/>
      <w:spacing w:val="15"/>
      <w:lang w:eastAsia="ru-RU"/>
    </w:rPr>
  </w:style>
  <w:style w:type="character" w:customStyle="1" w:styleId="afa">
    <w:name w:val="Символ сноски"/>
    <w:qFormat/>
  </w:style>
  <w:style w:type="character" w:customStyle="1" w:styleId="afb">
    <w:name w:val="Привязка концевой сноски"/>
    <w:qFormat/>
    <w:rPr>
      <w:vertAlign w:val="superscript"/>
    </w:rPr>
  </w:style>
  <w:style w:type="character" w:customStyle="1" w:styleId="afc">
    <w:name w:val="Символ концевой сноски"/>
    <w:qFormat/>
  </w:style>
  <w:style w:type="character" w:customStyle="1" w:styleId="14">
    <w:name w:val="Основной текст Знак1"/>
    <w:basedOn w:val="a0"/>
    <w:uiPriority w:val="99"/>
    <w:semiHidden/>
    <w:qFormat/>
  </w:style>
  <w:style w:type="character" w:customStyle="1" w:styleId="21">
    <w:name w:val="Текст сноски Знак2"/>
    <w:basedOn w:val="a0"/>
    <w:uiPriority w:val="99"/>
    <w:semiHidden/>
    <w:qFormat/>
    <w:rPr>
      <w:sz w:val="20"/>
      <w:szCs w:val="20"/>
    </w:rPr>
  </w:style>
  <w:style w:type="character" w:customStyle="1" w:styleId="15">
    <w:name w:val="Текст выноски Знак1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6">
    <w:name w:val="Верхний колонтитул Знак1"/>
    <w:basedOn w:val="a0"/>
    <w:uiPriority w:val="99"/>
    <w:semiHidden/>
    <w:qFormat/>
  </w:style>
  <w:style w:type="character" w:customStyle="1" w:styleId="17">
    <w:name w:val="Нижний колонтитул Знак1"/>
    <w:basedOn w:val="a0"/>
    <w:uiPriority w:val="99"/>
    <w:semiHidden/>
    <w:qFormat/>
  </w:style>
  <w:style w:type="character" w:customStyle="1" w:styleId="18">
    <w:name w:val="Подзаголовок Знак1"/>
    <w:basedOn w:val="a0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w">
    <w:name w:val="w"/>
    <w:basedOn w:val="a0"/>
    <w:qFormat/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d">
    <w:name w:val="Ссылка указателя"/>
    <w:qFormat/>
  </w:style>
  <w:style w:type="character" w:customStyle="1" w:styleId="afe">
    <w:name w:val="Нет"/>
    <w:qFormat/>
  </w:style>
  <w:style w:type="character" w:customStyle="1" w:styleId="Hyperlink0">
    <w:name w:val="Hyperlink.0"/>
    <w:basedOn w:val="afe"/>
    <w:qFormat/>
    <w:rPr>
      <w:lang w:val="ru-RU"/>
    </w:rPr>
  </w:style>
  <w:style w:type="character" w:customStyle="1" w:styleId="Hyperlink1">
    <w:name w:val="Hyperlink.1"/>
    <w:basedOn w:val="afe"/>
    <w:qFormat/>
  </w:style>
  <w:style w:type="character" w:customStyle="1" w:styleId="19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a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aff">
    <w:name w:val="Верхний и нижний колонтитулы"/>
    <w:basedOn w:val="a"/>
    <w:qFormat/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ff0">
    <w:name w:val="List Paragraph"/>
    <w:basedOn w:val="a"/>
    <w:qFormat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Колонтитул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1b">
    <w:name w:val="Заголовок оглавления1"/>
    <w:basedOn w:val="1"/>
    <w:next w:val="a"/>
    <w:uiPriority w:val="39"/>
    <w:unhideWhenUsed/>
    <w:qFormat/>
    <w:pPr>
      <w:widowControl/>
      <w:spacing w:line="259" w:lineRule="auto"/>
    </w:pPr>
  </w:style>
  <w:style w:type="paragraph" w:customStyle="1" w:styleId="24">
    <w:name w:val="Основной текст (2)"/>
    <w:basedOn w:val="a"/>
    <w:qFormat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c">
    <w:name w:val="Рецензия1"/>
    <w:uiPriority w:val="99"/>
    <w:semiHidden/>
    <w:qFormat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14">
    <w:name w:val="Normal 14"/>
    <w:qFormat/>
    <w:pPr>
      <w:suppressAutoHyphens/>
      <w:spacing w:line="360" w:lineRule="exact"/>
      <w:ind w:firstLine="720"/>
      <w:jc w:val="both"/>
    </w:pPr>
    <w:rPr>
      <w:rFonts w:eastAsia="Arial Unicode MS" w:cs="Arial Unicode MS"/>
      <w:color w:val="2F5496"/>
      <w:sz w:val="28"/>
      <w:szCs w:val="28"/>
      <w:u w:color="2F5496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widowControl w:val="0"/>
      <w:suppressAutoHyphens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c">
    <w:name w:val="Заголовок Знак"/>
    <w:basedOn w:val="a0"/>
    <w:link w:val="ab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6">
    <w:name w:val="Font Style26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ListParagraph1">
    <w:name w:val="List Paragraph1"/>
    <w:basedOn w:val="a"/>
    <w:qFormat/>
    <w:pPr>
      <w:ind w:left="720" w:firstLine="567"/>
      <w:jc w:val="both"/>
    </w:pPr>
    <w:rPr>
      <w:rFonts w:ascii="Calibri" w:hAnsi="Calibri"/>
      <w:kern w:val="2"/>
      <w:sz w:val="24"/>
      <w:szCs w:val="24"/>
      <w:lang w:val="en-US" w:eastAsia="ar-SA"/>
    </w:rPr>
  </w:style>
  <w:style w:type="paragraph" w:customStyle="1" w:styleId="Style72">
    <w:name w:val="_Style 72"/>
    <w:basedOn w:val="a"/>
    <w:next w:val="af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qFormat/>
    <w:rPr>
      <w:rFonts w:ascii="Arial" w:hAnsi="Arial" w:cs="Arial"/>
      <w:sz w:val="26"/>
      <w:szCs w:val="26"/>
    </w:rPr>
  </w:style>
  <w:style w:type="character" w:customStyle="1" w:styleId="A30">
    <w:name w:val="A3"/>
    <w:uiPriority w:val="99"/>
    <w:qFormat/>
    <w:rPr>
      <w:b/>
      <w:bCs/>
      <w:color w:val="000000"/>
      <w:sz w:val="32"/>
      <w:szCs w:val="32"/>
    </w:rPr>
  </w:style>
  <w:style w:type="table" w:customStyle="1" w:styleId="26">
    <w:name w:val="Сетка таблицы2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Текст сноски Знак4"/>
    <w:basedOn w:val="a0"/>
    <w:qFormat/>
    <w:rsid w:val="001021EB"/>
    <w:rPr>
      <w:rFonts w:ascii="Times New Roman" w:eastAsia="Times New Roman" w:hAnsi="Times New Roman" w:cs="Times New Roman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ink.springer.com/book/10.1007/978-3-030-88000-2" TargetMode="External"/><Relationship Id="rId18" Type="http://schemas.openxmlformats.org/officeDocument/2006/relationships/hyperlink" Target="https://link.springer.com/book/10.1007/978-3-030-79264-0" TargetMode="External"/><Relationship Id="rId26" Type="http://schemas.openxmlformats.org/officeDocument/2006/relationships/hyperlink" Target="http://www.imf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oex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893877" TargetMode="External"/><Relationship Id="rId17" Type="http://schemas.openxmlformats.org/officeDocument/2006/relationships/hyperlink" Target="https://link.springer.com/book/10.1007/978-3-031-16123-0" TargetMode="External"/><Relationship Id="rId25" Type="http://schemas.openxmlformats.org/officeDocument/2006/relationships/hyperlink" Target="http://www.bis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ink.springer.com/book/10.1007/978-3-030-24966-3" TargetMode="External"/><Relationship Id="rId20" Type="http://schemas.openxmlformats.org/officeDocument/2006/relationships/hyperlink" Target="https://cbr.ru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231984" TargetMode="External"/><Relationship Id="rId24" Type="http://schemas.openxmlformats.org/officeDocument/2006/relationships/hyperlink" Target="https://www.fatf-gafi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ink.springer.com/book/10.1007/978-3-030-97951-5" TargetMode="External"/><Relationship Id="rId23" Type="http://schemas.openxmlformats.org/officeDocument/2006/relationships/hyperlink" Target="http://www.ssrn.com" TargetMode="External"/><Relationship Id="rId28" Type="http://schemas.openxmlformats.org/officeDocument/2006/relationships/hyperlink" Target="http://www.worldbank.org" TargetMode="External"/><Relationship Id="rId10" Type="http://schemas.openxmlformats.org/officeDocument/2006/relationships/hyperlink" Target="https://znanium.com/catalog/product/1839690" TargetMode="External"/><Relationship Id="rId19" Type="http://schemas.openxmlformats.org/officeDocument/2006/relationships/hyperlink" Target="https://link.springer.com/book/10.1007/978-981-13-8110-2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ink.springer.com/book/10.1007/978-3-030-88036-1" TargetMode="External"/><Relationship Id="rId22" Type="http://schemas.openxmlformats.org/officeDocument/2006/relationships/hyperlink" Target="https://fedsfm.ru/" TargetMode="External"/><Relationship Id="rId27" Type="http://schemas.openxmlformats.org/officeDocument/2006/relationships/hyperlink" Target="http://www.oecd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A5FB6-40A5-462A-8FB1-46BF1E06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28</Pages>
  <Words>6752</Words>
  <Characters>38487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MOEX</Company>
  <LinksUpToDate>false</LinksUpToDate>
  <CharactersWithSpaces>45149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 Рубцов</dc:creator>
  <cp:lastModifiedBy>Васильева Светлана Юрьевна</cp:lastModifiedBy>
  <cp:revision>9</cp:revision>
  <dcterms:created xsi:type="dcterms:W3CDTF">2023-06-09T13:17:00Z</dcterms:created>
  <dcterms:modified xsi:type="dcterms:W3CDTF">2023-09-11T08:57:00Z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1E38138D04E644849D4F2DB5A88A7869</vt:lpwstr>
  </property>
</Properties>
</file>